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June 27,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UGI UTILITIES,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2900" w:type="dxa"/>
            <w:vAlign w:val="bottom"/>
          </w:tcPr>
          <w:p>
            <w:pPr>
              <w:jc w:val="center"/>
              <w:ind w:right="1202"/>
              <w:spacing w:after="0"/>
              <w:rPr>
                <w:sz w:val="20"/>
                <w:szCs w:val="20"/>
                <w:color w:val="auto"/>
              </w:rPr>
            </w:pPr>
            <w:r>
              <w:rPr>
                <w:rFonts w:ascii="Arial" w:cs="Arial" w:eastAsia="Arial" w:hAnsi="Arial"/>
                <w:sz w:val="18"/>
                <w:szCs w:val="18"/>
                <w:b w:val="1"/>
                <w:bCs w:val="1"/>
                <w:color w:val="auto"/>
                <w:w w:val="88"/>
              </w:rPr>
              <w:t>Pennsylvania</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9"/>
              </w:rPr>
              <w:t>1-1398</w:t>
            </w:r>
          </w:p>
        </w:tc>
        <w:tc>
          <w:tcPr>
            <w:tcW w:w="2680" w:type="dxa"/>
            <w:vAlign w:val="bottom"/>
          </w:tcPr>
          <w:p>
            <w:pPr>
              <w:jc w:val="center"/>
              <w:ind w:left="1182"/>
              <w:spacing w:after="0"/>
              <w:rPr>
                <w:sz w:val="20"/>
                <w:szCs w:val="20"/>
                <w:color w:val="auto"/>
              </w:rPr>
            </w:pPr>
            <w:r>
              <w:rPr>
                <w:rFonts w:ascii="Arial" w:cs="Arial" w:eastAsia="Arial" w:hAnsi="Arial"/>
                <w:sz w:val="18"/>
                <w:szCs w:val="18"/>
                <w:b w:val="1"/>
                <w:bCs w:val="1"/>
                <w:color w:val="auto"/>
                <w:w w:val="89"/>
              </w:rPr>
              <w:t>23-1174060</w:t>
            </w:r>
          </w:p>
        </w:tc>
      </w:tr>
      <w:tr>
        <w:trPr>
          <w:trHeight w:val="149"/>
        </w:trPr>
        <w:tc>
          <w:tcPr>
            <w:tcW w:w="2900" w:type="dxa"/>
            <w:vAlign w:val="bottom"/>
          </w:tcPr>
          <w:p>
            <w:pPr>
              <w:jc w:val="center"/>
              <w:ind w:right="11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(Commission</w:t>
            </w:r>
          </w:p>
        </w:tc>
        <w:tc>
          <w:tcPr>
            <w:tcW w:w="2680" w:type="dxa"/>
            <w:vAlign w:val="bottom"/>
          </w:tcPr>
          <w:p>
            <w:pPr>
              <w:jc w:val="center"/>
              <w:ind w:left="11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1202"/>
              <w:spacing w:after="0"/>
              <w:rPr>
                <w:sz w:val="20"/>
                <w:szCs w:val="20"/>
                <w:color w:val="auto"/>
              </w:rPr>
            </w:pPr>
            <w:r>
              <w:rPr>
                <w:rFonts w:ascii="Arial" w:cs="Arial" w:eastAsia="Arial" w:hAnsi="Arial"/>
                <w:sz w:val="14"/>
                <w:szCs w:val="14"/>
                <w:b w:val="1"/>
                <w:bCs w:val="1"/>
                <w:color w:val="auto"/>
                <w:w w:val="94"/>
              </w:rPr>
              <w:t>of incorporation)</w:t>
            </w: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680" w:type="dxa"/>
            <w:vAlign w:val="bottom"/>
          </w:tcPr>
          <w:p>
            <w:pPr>
              <w:jc w:val="center"/>
              <w:ind w:left="11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 UGI Drive, Denver, PA 17517</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(610) 796-3400</w:t>
      </w:r>
    </w:p>
    <w:p>
      <w:pPr>
        <w:spacing w:after="0" w:line="10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246380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Common Stock, without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UGI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 Inc.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620"/>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On June 27, 2019, UGI Utilities, Inc., a Pennsylvania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that certain Credit Agreement (the “</w:t>
      </w:r>
      <w:r>
        <w:rPr>
          <w:rFonts w:ascii="Arial" w:cs="Arial" w:eastAsia="Arial" w:hAnsi="Arial"/>
          <w:sz w:val="17"/>
          <w:szCs w:val="17"/>
          <w:u w:val="single" w:color="auto"/>
          <w:color w:val="auto"/>
        </w:rPr>
        <w:t>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the Company, PNC Bank, National Association, as administrative agent, Citizens Bank, N.A., as syndication agent, PNC Capital Markets LLC and Citizens Bank, N.A., as joint lead arrangers and the other financial institutions from time to time party thereto (collectively, the “Lenders”). Concurrently with entering into the Credit Agreement, the Company terminated its existing $300 million revolving credit agreement dated as of March 27, 2015 by and among the Company, as borrower, PNC Bank, National Association, as administrative agent, Citizens Bank of Pennsylvania, as syndication agent, and the other financial institutions parties thereto.</w:t>
      </w:r>
    </w:p>
    <w:p>
      <w:pPr>
        <w:spacing w:after="0" w:line="17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Under and subject to the terms and conditions of the Credit Agreement, the Lenders have committed to provide loans to the Company in an aggregate amount of $350 million, including a letter of credit subfacility of up to $100 million and swing line advances of up to $35 million. In addition, the Company may request an increase in the amount of loan commitments under the Credit Agreement to a maximum aggregate amount of $150 million. The Company may use the proceeds of loans made under the Credit Agreement to refinance existing indebtedness and for working capital, acquisitions, capital expenditures and other general corporate purposes, including for its subsidiaries.</w:t>
      </w:r>
    </w:p>
    <w:p>
      <w:pPr>
        <w:spacing w:after="0" w:line="17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Revolving Credit Advances (as defined in the Credit Agreement) that are Base Rate Advances (as defined in the Credit Agreement) will bear interest at a rate equal to the sum of (1) the highest of (a) the federal funds open rate plus 0.50%, (b) the prime rate, or (c) the daily LIBOR rate plus 1.0%, and</w:t>
      </w:r>
    </w:p>
    <w:p>
      <w:pPr>
        <w:ind w:right="100" w:firstLine="4"/>
        <w:spacing w:after="0" w:line="273"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Applicable Margin (as defined in the Credit Agreement), each as in effect on the date of the borrowing. The Applicable Margin will be based on the credit ratings assigned to certain indebtedness of the Company. Revolving Credit Advances that are Eurodollar Rate Advances (as defined in the Credit Agreement) will bear interest at a rate equal to the sum of (1) the London interbank offered rates divided by a number equal to 1.00 minus the Eurodollar Rate Reserve Percentage (as defined in the Credit Agreement), and (2) the Applicable Margin.</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issuance of a letter of credit, the Company will pay (1) a quarterly fee equal to the Applicable Margin for Eurodollar Rate Advances in effect on such date, and (2) a quarterly fronting fee equal to 0.125% of the face amount of the letter of credit, plus administrative expenses. Each swing line advance will bear interest at a rate equal to the sum of the daily LIBOR rate plus the Applicable Margin for Eurodollar Rate Advances as in effect on such date.</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Credit Agreement has a termination date of June 25, 2020. The termination date may be extended to June 26, 2024 if, on or before the date that is 364 days after the Effective Date (as defined in the Credit Agreement), the Company satisfies certain requirements relating to approval of the Credit Agreement by the Pennsylvania Public Utility Commission. The Company intends to seek such regulatory approval. The Company may voluntarily prepay its borrowings under the Credit Agreement, in whole or in part, without any premium or penalty.</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Credit Agreement contains customary representations and warranties and affirmative and negative covenants for agreements of this type, including, among others, covenants regarding the maintenance of a financial ratio, covenants relating to financial reporting, compliance with laws, payment of taxes, preservation of existence, books and records, maintenance of properties and insurance, limitations on liens, restrictions on mergers and restrictions on sales of all or substantially all of the Company’s assets, and limitations on changes in the nature of the Company’s business.</w:t>
      </w:r>
    </w:p>
    <w:p>
      <w:pPr>
        <w:spacing w:after="0" w:line="15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Credit Agreement provides for customary events of default, including, among other things, in the event of nonpayment of principal, interest, fees or other amounts, a representation or warranty proving to have been incorrect in any material respect when made, failure to perform or observe covenants within a specified period of time, a cross-default to other Company indebtedness of a specified amount, the bankruptcy or insolvency of the Company, monetary judgment defaults of a specified amount, a change of control of the Company, and ERISA defaults resulting in liability for a specified amount. In the event of a default by the Company, the requisite number of Lenders (or the agent at their request) may declare all amounts owed under the Credit Agreement and outstanding Letters of Credit immediately due and payable and terminate the Lenders’ commitments to make loans under the Credit Agreement. For defaults related to insolvency and receivership, the commitments of the Lenders will be automatically terminated and all outstanding loans and other amounts will become immediately due and payable. Under the terms of the Credit Agreement, a 2% interest penalty may apply to any outstanding amount not paid when due or that remains outstanding while an event of default exists.</w:t>
      </w:r>
    </w:p>
    <w:p>
      <w:pPr>
        <w:sectPr>
          <w:pgSz w:w="11900" w:h="16838" w:orient="portrait"/>
          <w:cols w:equalWidth="0" w:num="1">
            <w:col w:w="11020"/>
          </w:cols>
          <w:pgMar w:left="440" w:top="270" w:right="439" w:bottom="1440" w:gutter="0" w:footer="0" w:header="0"/>
        </w:sectPr>
      </w:pPr>
    </w:p>
    <w:bookmarkStart w:id="2" w:name="page3"/>
    <w:bookmarkEnd w:id="2"/>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description of the Credit Agreement does not purport to be complete and is qualified in its entirety by reference to the Credit Agreement, which is filed as Exhibit 10.1 to this Current Report on Form 8-K and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June 27, 2019, the Company terminated without penalty its revolving credit agreement dated as of March 27, 2015 as described in Item 1.01 above.</w:t>
      </w: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above in Item 1.01 regarding the Company’s borrowing under the Credit Agreement is hereby incorporated into this Item 2.03 by reference. This description is qualified in its entirety by reference to the full text of the Credit Agreement, a copy of which is attached as Exhibit 10.1 to this Current Report on Form 8-K and is incorporated herein by reference.</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260" w:hanging="256"/>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10.1 Credit Agreement, dated as of June 27, 2019, by and among UGI Utilities, Inc., as borrower, PNC Bank, National Association, as administrative agent, Citizens Bank, N.A., as syndication agent, and the lenders party thereto.</w:t>
      </w:r>
    </w:p>
    <w:p>
      <w:pPr>
        <w:sectPr>
          <w:pgSz w:w="11900" w:h="16838" w:orient="portrait"/>
          <w:cols w:equalWidth="0" w:num="1">
            <w:col w:w="10980"/>
          </w:cols>
          <w:pgMar w:left="440" w:top="274" w:right="4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06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r>
      <w:tr>
        <w:trPr>
          <w:trHeight w:val="412"/>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c>
          <w:tcPr>
            <w:tcW w:w="1060" w:type="dxa"/>
            <w:vAlign w:val="bottom"/>
            <w:tcBorders>
              <w:top w:val="single" w:sz="8" w:color="auto"/>
            </w:tcBorders>
          </w:tcPr>
          <w:p>
            <w:pPr>
              <w:spacing w:after="0"/>
              <w:rPr>
                <w:sz w:val="24"/>
                <w:szCs w:val="24"/>
                <w:color w:val="auto"/>
              </w:rPr>
            </w:pPr>
          </w:p>
        </w:tc>
        <w:tc>
          <w:tcPr>
            <w:tcW w:w="5000" w:type="dxa"/>
            <w:vAlign w:val="bottom"/>
            <w:gridSpan w:val="3"/>
          </w:tcPr>
          <w:p>
            <w:pPr>
              <w:spacing w:after="0"/>
              <w:rPr>
                <w:sz w:val="24"/>
                <w:szCs w:val="24"/>
                <w:color w:val="auto"/>
              </w:rPr>
            </w:pPr>
          </w:p>
        </w:tc>
      </w:tr>
      <w:tr>
        <w:trPr>
          <w:trHeight w:val="27"/>
        </w:trPr>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5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3"/>
                <w:szCs w:val="23"/>
                <w:color w:val="auto"/>
              </w:rPr>
            </w:pPr>
          </w:p>
        </w:tc>
        <w:tc>
          <w:tcPr>
            <w:tcW w:w="93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Credit Agreement, dated as of June 27, 2019, by and among UGI Utilities, Inc., as borrower, PNC Bank, National Association, as</w:t>
            </w:r>
          </w:p>
        </w:tc>
        <w:tc>
          <w:tcPr>
            <w:tcW w:w="220" w:type="dxa"/>
            <w:vAlign w:val="bottom"/>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7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administrative agent, Citizens Bank, N.A., as syndication agent, and the lenders party thereto.</w:t>
            </w:r>
          </w:p>
        </w:tc>
        <w:tc>
          <w:tcPr>
            <w:tcW w:w="2840" w:type="dxa"/>
            <w:vAlign w:val="bottom"/>
            <w:gridSpan w:val="2"/>
          </w:tcPr>
          <w:p>
            <w:pPr>
              <w:spacing w:after="0"/>
              <w:rPr>
                <w:sz w:val="17"/>
                <w:szCs w:val="17"/>
                <w:color w:val="auto"/>
              </w:rPr>
            </w:pPr>
          </w:p>
        </w:tc>
      </w:tr>
    </w:tbl>
    <w:p>
      <w:pPr>
        <w:spacing w:after="0"/>
        <w:rPr>
          <w:sz w:val="20"/>
          <w:szCs w:val="20"/>
          <w:color w:val="auto"/>
        </w:rPr>
        <w:sectPr>
          <w:pgSz w:w="11900" w:h="16838" w:orient="portrait"/>
          <w:cols w:equalWidth="0" w:num="1">
            <w:col w:w="11040"/>
          </w:cols>
          <w:pgMar w:left="440" w:top="257"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UGI UTILITIES, INC.</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July 2, 2019</w:t>
      </w:r>
      <w:r>
        <w:rPr>
          <w:sz w:val="20"/>
          <w:szCs w:val="20"/>
          <w:color w:val="auto"/>
        </w:rPr>
        <w:tab/>
      </w:r>
      <w:r>
        <w:rPr>
          <w:rFonts w:ascii="Arial" w:cs="Arial" w:eastAsia="Arial" w:hAnsi="Arial"/>
          <w:sz w:val="17"/>
          <w:szCs w:val="17"/>
          <w:color w:val="auto"/>
        </w:rPr>
        <w:t>By:  /s/ Daniel J. Platt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Daniel J. Platt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 and Treasurer</w:t>
      </w:r>
    </w:p>
    <w:p>
      <w:pPr>
        <w:sectPr>
          <w:pgSz w:w="11900" w:h="16838" w:orient="portrait"/>
          <w:cols w:equalWidth="0" w:num="1">
            <w:col w:w="10780"/>
          </w:cols>
          <w:pgMar w:left="440" w:top="270" w:right="6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No. 902693AC4</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U.S. $350,000,000</w:t>
      </w:r>
    </w:p>
    <w:p>
      <w:pPr>
        <w:spacing w:after="0" w:line="22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 June 27, 2019</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UGI UTILITIES, INC.</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THE INITIAL LENDERS NAMED HEREIN</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Initial Lenders</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PNC BANK, NATIONAL ASSOCIATION</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CITIZENS BANK, N.A.</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228600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PNC CAPITAL MARKETS LLC</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CITIZENS BANK, N.A.</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as Joint Lead Arrangers and Joint Bookrunners</w:t>
      </w:r>
    </w:p>
    <w:p>
      <w:pPr>
        <w:sectPr>
          <w:pgSz w:w="11900" w:h="16838" w:orient="portrait"/>
          <w:cols w:equalWidth="0" w:num="1">
            <w:col w:w="10020"/>
          </w:cols>
          <w:pgMar w:left="1440" w:top="121"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8900" w:type="dxa"/>
            <w:vAlign w:val="bottom"/>
          </w:tcPr>
          <w:p>
            <w:pPr>
              <w:ind w:left="306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r>
      <w:tr>
        <w:trPr>
          <w:trHeight w:val="377"/>
        </w:trPr>
        <w:tc>
          <w:tcPr>
            <w:tcW w:w="150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ARTICLE I DEFINITIONS AND ACCOUNTING TERMS</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8900" w:type="dxa"/>
            <w:vAlign w:val="bottom"/>
          </w:tcPr>
          <w:p>
            <w:pPr>
              <w:ind w:left="240"/>
              <w:spacing w:after="0"/>
              <w:rPr>
                <w:sz w:val="20"/>
                <w:szCs w:val="20"/>
                <w:color w:val="auto"/>
              </w:rPr>
            </w:pPr>
            <w:r>
              <w:rPr>
                <w:rFonts w:ascii="Arial" w:cs="Arial" w:eastAsia="Arial" w:hAnsi="Arial"/>
                <w:sz w:val="18"/>
                <w:szCs w:val="18"/>
                <w:color w:val="auto"/>
              </w:rPr>
              <w:t>Certain Defined Terms</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8900" w:type="dxa"/>
            <w:vAlign w:val="bottom"/>
          </w:tcPr>
          <w:p>
            <w:pPr>
              <w:ind w:left="240"/>
              <w:spacing w:after="0"/>
              <w:rPr>
                <w:sz w:val="20"/>
                <w:szCs w:val="20"/>
                <w:color w:val="auto"/>
              </w:rPr>
            </w:pPr>
            <w:r>
              <w:rPr>
                <w:rFonts w:ascii="Arial" w:cs="Arial" w:eastAsia="Arial" w:hAnsi="Arial"/>
                <w:sz w:val="18"/>
                <w:szCs w:val="18"/>
                <w:color w:val="auto"/>
              </w:rPr>
              <w:t>Computation of Time Periods</w:t>
            </w: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8900" w:type="dxa"/>
            <w:vAlign w:val="bottom"/>
          </w:tcPr>
          <w:p>
            <w:pPr>
              <w:ind w:left="240"/>
              <w:spacing w:after="0"/>
              <w:rPr>
                <w:sz w:val="20"/>
                <w:szCs w:val="20"/>
                <w:color w:val="auto"/>
              </w:rPr>
            </w:pPr>
            <w:r>
              <w:rPr>
                <w:rFonts w:ascii="Arial" w:cs="Arial" w:eastAsia="Arial" w:hAnsi="Arial"/>
                <w:sz w:val="18"/>
                <w:szCs w:val="18"/>
                <w:color w:val="auto"/>
              </w:rPr>
              <w:t>Accounting Terms</w:t>
            </w: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8900" w:type="dxa"/>
            <w:vAlign w:val="bottom"/>
          </w:tcPr>
          <w:p>
            <w:pPr>
              <w:ind w:left="240"/>
              <w:spacing w:after="0"/>
              <w:rPr>
                <w:sz w:val="20"/>
                <w:szCs w:val="20"/>
                <w:color w:val="auto"/>
              </w:rPr>
            </w:pPr>
            <w:r>
              <w:rPr>
                <w:rFonts w:ascii="Arial" w:cs="Arial" w:eastAsia="Arial" w:hAnsi="Arial"/>
                <w:sz w:val="18"/>
                <w:szCs w:val="18"/>
                <w:color w:val="auto"/>
              </w:rPr>
              <w:t>LIBOR Notification</w:t>
            </w: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8900" w:type="dxa"/>
            <w:vAlign w:val="bottom"/>
          </w:tcPr>
          <w:p>
            <w:pPr>
              <w:ind w:left="240"/>
              <w:spacing w:after="0"/>
              <w:rPr>
                <w:sz w:val="20"/>
                <w:szCs w:val="20"/>
                <w:color w:val="auto"/>
              </w:rPr>
            </w:pPr>
            <w:r>
              <w:rPr>
                <w:rFonts w:ascii="Arial" w:cs="Arial" w:eastAsia="Arial" w:hAnsi="Arial"/>
                <w:sz w:val="18"/>
                <w:szCs w:val="18"/>
                <w:color w:val="auto"/>
              </w:rPr>
              <w:t>Divisions</w:t>
            </w: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400" w:type="dxa"/>
            <w:vAlign w:val="bottom"/>
            <w:gridSpan w:val="2"/>
          </w:tcPr>
          <w:p>
            <w:pPr>
              <w:spacing w:after="0"/>
              <w:rPr>
                <w:sz w:val="20"/>
                <w:szCs w:val="20"/>
                <w:color w:val="auto"/>
              </w:rPr>
            </w:pPr>
            <w:r>
              <w:rPr>
                <w:rFonts w:ascii="Arial" w:cs="Arial" w:eastAsia="Arial" w:hAnsi="Arial"/>
                <w:sz w:val="18"/>
                <w:szCs w:val="18"/>
                <w:color w:val="auto"/>
              </w:rPr>
              <w:t>ARTICLE II AMOUNTS AND TERMS OF THE ADVANCES</w:t>
            </w: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8900" w:type="dxa"/>
            <w:vAlign w:val="bottom"/>
          </w:tcPr>
          <w:p>
            <w:pPr>
              <w:ind w:left="240"/>
              <w:spacing w:after="0"/>
              <w:rPr>
                <w:sz w:val="20"/>
                <w:szCs w:val="20"/>
                <w:color w:val="auto"/>
              </w:rPr>
            </w:pPr>
            <w:r>
              <w:rPr>
                <w:rFonts w:ascii="Arial" w:cs="Arial" w:eastAsia="Arial" w:hAnsi="Arial"/>
                <w:sz w:val="18"/>
                <w:szCs w:val="18"/>
                <w:color w:val="auto"/>
              </w:rPr>
              <w:t>The Revolving Credit Advances</w:t>
            </w: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8900" w:type="dxa"/>
            <w:vAlign w:val="bottom"/>
          </w:tcPr>
          <w:p>
            <w:pPr>
              <w:ind w:left="240"/>
              <w:spacing w:after="0"/>
              <w:rPr>
                <w:sz w:val="20"/>
                <w:szCs w:val="20"/>
                <w:color w:val="auto"/>
              </w:rPr>
            </w:pPr>
            <w:r>
              <w:rPr>
                <w:rFonts w:ascii="Arial" w:cs="Arial" w:eastAsia="Arial" w:hAnsi="Arial"/>
                <w:sz w:val="18"/>
                <w:szCs w:val="18"/>
                <w:color w:val="auto"/>
              </w:rPr>
              <w:t>Making the Revolving Credit Advances</w:t>
            </w: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8900" w:type="dxa"/>
            <w:vAlign w:val="bottom"/>
          </w:tcPr>
          <w:p>
            <w:pPr>
              <w:ind w:left="240"/>
              <w:spacing w:after="0"/>
              <w:rPr>
                <w:sz w:val="20"/>
                <w:szCs w:val="20"/>
                <w:color w:val="auto"/>
              </w:rPr>
            </w:pPr>
            <w:r>
              <w:rPr>
                <w:rFonts w:ascii="Arial" w:cs="Arial" w:eastAsia="Arial" w:hAnsi="Arial"/>
                <w:sz w:val="18"/>
                <w:szCs w:val="18"/>
                <w:color w:val="auto"/>
              </w:rPr>
              <w:t>Swing Line Advances</w:t>
            </w: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8900" w:type="dxa"/>
            <w:vAlign w:val="bottom"/>
          </w:tcPr>
          <w:p>
            <w:pPr>
              <w:ind w:left="240"/>
              <w:spacing w:after="0"/>
              <w:rPr>
                <w:sz w:val="20"/>
                <w:szCs w:val="20"/>
                <w:color w:val="auto"/>
              </w:rPr>
            </w:pPr>
            <w:r>
              <w:rPr>
                <w:rFonts w:ascii="Arial" w:cs="Arial" w:eastAsia="Arial" w:hAnsi="Arial"/>
                <w:sz w:val="18"/>
                <w:szCs w:val="18"/>
                <w:color w:val="auto"/>
              </w:rPr>
              <w:t>Letter of Credit Subfacility</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8900" w:type="dxa"/>
            <w:vAlign w:val="bottom"/>
          </w:tcPr>
          <w:p>
            <w:pPr>
              <w:ind w:left="240"/>
              <w:spacing w:after="0"/>
              <w:rPr>
                <w:sz w:val="20"/>
                <w:szCs w:val="20"/>
                <w:color w:val="auto"/>
              </w:rPr>
            </w:pPr>
            <w:r>
              <w:rPr>
                <w:rFonts w:ascii="Arial" w:cs="Arial" w:eastAsia="Arial" w:hAnsi="Arial"/>
                <w:sz w:val="18"/>
                <w:szCs w:val="18"/>
                <w:color w:val="auto"/>
              </w:rPr>
              <w:t>Fees</w:t>
            </w: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8900" w:type="dxa"/>
            <w:vAlign w:val="bottom"/>
          </w:tcPr>
          <w:p>
            <w:pPr>
              <w:ind w:left="240"/>
              <w:spacing w:after="0"/>
              <w:rPr>
                <w:sz w:val="20"/>
                <w:szCs w:val="20"/>
                <w:color w:val="auto"/>
              </w:rPr>
            </w:pPr>
            <w:r>
              <w:rPr>
                <w:rFonts w:ascii="Arial" w:cs="Arial" w:eastAsia="Arial" w:hAnsi="Arial"/>
                <w:sz w:val="18"/>
                <w:szCs w:val="18"/>
                <w:color w:val="auto"/>
              </w:rPr>
              <w:t>Optional Termination or Reduction of the Commitments</w:t>
            </w: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2.07</w:t>
            </w:r>
          </w:p>
        </w:tc>
        <w:tc>
          <w:tcPr>
            <w:tcW w:w="8900" w:type="dxa"/>
            <w:vAlign w:val="bottom"/>
          </w:tcPr>
          <w:p>
            <w:pPr>
              <w:ind w:left="240"/>
              <w:spacing w:after="0"/>
              <w:rPr>
                <w:sz w:val="20"/>
                <w:szCs w:val="20"/>
                <w:color w:val="auto"/>
              </w:rPr>
            </w:pPr>
            <w:r>
              <w:rPr>
                <w:rFonts w:ascii="Arial" w:cs="Arial" w:eastAsia="Arial" w:hAnsi="Arial"/>
                <w:sz w:val="18"/>
                <w:szCs w:val="18"/>
                <w:color w:val="auto"/>
              </w:rPr>
              <w:t>Repayment of Advances</w:t>
            </w: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2.08</w:t>
            </w:r>
          </w:p>
        </w:tc>
        <w:tc>
          <w:tcPr>
            <w:tcW w:w="8900" w:type="dxa"/>
            <w:vAlign w:val="bottom"/>
          </w:tcPr>
          <w:p>
            <w:pPr>
              <w:ind w:left="240"/>
              <w:spacing w:after="0"/>
              <w:rPr>
                <w:sz w:val="20"/>
                <w:szCs w:val="20"/>
                <w:color w:val="auto"/>
              </w:rPr>
            </w:pPr>
            <w:r>
              <w:rPr>
                <w:rFonts w:ascii="Arial" w:cs="Arial" w:eastAsia="Arial" w:hAnsi="Arial"/>
                <w:sz w:val="18"/>
                <w:szCs w:val="18"/>
                <w:color w:val="auto"/>
              </w:rPr>
              <w:t>Interest on Revolving Credit Advances</w:t>
            </w: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2.09</w:t>
            </w:r>
          </w:p>
        </w:tc>
        <w:tc>
          <w:tcPr>
            <w:tcW w:w="8900" w:type="dxa"/>
            <w:vAlign w:val="bottom"/>
          </w:tcPr>
          <w:p>
            <w:pPr>
              <w:ind w:left="240"/>
              <w:spacing w:after="0"/>
              <w:rPr>
                <w:sz w:val="20"/>
                <w:szCs w:val="20"/>
                <w:color w:val="auto"/>
              </w:rPr>
            </w:pPr>
            <w:r>
              <w:rPr>
                <w:rFonts w:ascii="Arial" w:cs="Arial" w:eastAsia="Arial" w:hAnsi="Arial"/>
                <w:sz w:val="18"/>
                <w:szCs w:val="18"/>
                <w:color w:val="auto"/>
              </w:rPr>
              <w:t>Interest Rate Determination</w:t>
            </w: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8900" w:type="dxa"/>
            <w:vAlign w:val="bottom"/>
          </w:tcPr>
          <w:p>
            <w:pPr>
              <w:ind w:left="240"/>
              <w:spacing w:after="0"/>
              <w:rPr>
                <w:sz w:val="20"/>
                <w:szCs w:val="20"/>
                <w:color w:val="auto"/>
              </w:rPr>
            </w:pPr>
            <w:r>
              <w:rPr>
                <w:rFonts w:ascii="Arial" w:cs="Arial" w:eastAsia="Arial" w:hAnsi="Arial"/>
                <w:sz w:val="18"/>
                <w:szCs w:val="18"/>
                <w:color w:val="auto"/>
              </w:rPr>
              <w:t>Continuation or Optional Conversion of Revolving Credit Advances</w:t>
            </w: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8900" w:type="dxa"/>
            <w:vAlign w:val="bottom"/>
          </w:tcPr>
          <w:p>
            <w:pPr>
              <w:ind w:left="240"/>
              <w:spacing w:after="0"/>
              <w:rPr>
                <w:sz w:val="20"/>
                <w:szCs w:val="20"/>
                <w:color w:val="auto"/>
              </w:rPr>
            </w:pPr>
            <w:r>
              <w:rPr>
                <w:rFonts w:ascii="Arial" w:cs="Arial" w:eastAsia="Arial" w:hAnsi="Arial"/>
                <w:sz w:val="18"/>
                <w:szCs w:val="18"/>
                <w:color w:val="auto"/>
              </w:rPr>
              <w:t>Optional Prepayments of Revolving Credit Advances</w:t>
            </w: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8900" w:type="dxa"/>
            <w:vAlign w:val="bottom"/>
          </w:tcPr>
          <w:p>
            <w:pPr>
              <w:ind w:left="240"/>
              <w:spacing w:after="0"/>
              <w:rPr>
                <w:sz w:val="20"/>
                <w:szCs w:val="20"/>
                <w:color w:val="auto"/>
              </w:rPr>
            </w:pPr>
            <w:r>
              <w:rPr>
                <w:rFonts w:ascii="Arial" w:cs="Arial" w:eastAsia="Arial" w:hAnsi="Arial"/>
                <w:sz w:val="18"/>
                <w:szCs w:val="18"/>
                <w:color w:val="auto"/>
              </w:rPr>
              <w:t>Increased Costs</w:t>
            </w: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2.13</w:t>
            </w:r>
          </w:p>
        </w:tc>
        <w:tc>
          <w:tcPr>
            <w:tcW w:w="8900" w:type="dxa"/>
            <w:vAlign w:val="bottom"/>
          </w:tcPr>
          <w:p>
            <w:pPr>
              <w:ind w:left="240"/>
              <w:spacing w:after="0"/>
              <w:rPr>
                <w:sz w:val="20"/>
                <w:szCs w:val="20"/>
                <w:color w:val="auto"/>
              </w:rPr>
            </w:pPr>
            <w:r>
              <w:rPr>
                <w:rFonts w:ascii="Arial" w:cs="Arial" w:eastAsia="Arial" w:hAnsi="Arial"/>
                <w:sz w:val="18"/>
                <w:szCs w:val="18"/>
                <w:color w:val="auto"/>
              </w:rPr>
              <w:t>Illegality</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2.14</w:t>
            </w:r>
          </w:p>
        </w:tc>
        <w:tc>
          <w:tcPr>
            <w:tcW w:w="8900" w:type="dxa"/>
            <w:vAlign w:val="bottom"/>
          </w:tcPr>
          <w:p>
            <w:pPr>
              <w:ind w:left="240"/>
              <w:spacing w:after="0"/>
              <w:rPr>
                <w:sz w:val="20"/>
                <w:szCs w:val="20"/>
                <w:color w:val="auto"/>
              </w:rPr>
            </w:pPr>
            <w:r>
              <w:rPr>
                <w:rFonts w:ascii="Arial" w:cs="Arial" w:eastAsia="Arial" w:hAnsi="Arial"/>
                <w:sz w:val="18"/>
                <w:szCs w:val="18"/>
                <w:color w:val="auto"/>
              </w:rPr>
              <w:t>Payments and Computations</w:t>
            </w: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2.15</w:t>
            </w:r>
          </w:p>
        </w:tc>
        <w:tc>
          <w:tcPr>
            <w:tcW w:w="8900" w:type="dxa"/>
            <w:vAlign w:val="bottom"/>
          </w:tcPr>
          <w:p>
            <w:pPr>
              <w:ind w:left="240"/>
              <w:spacing w:after="0"/>
              <w:rPr>
                <w:sz w:val="20"/>
                <w:szCs w:val="20"/>
                <w:color w:val="auto"/>
              </w:rPr>
            </w:pPr>
            <w:r>
              <w:rPr>
                <w:rFonts w:ascii="Arial" w:cs="Arial" w:eastAsia="Arial" w:hAnsi="Arial"/>
                <w:sz w:val="18"/>
                <w:szCs w:val="18"/>
                <w:color w:val="auto"/>
              </w:rPr>
              <w:t>Taxes</w:t>
            </w: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2.16</w:t>
            </w:r>
          </w:p>
        </w:tc>
        <w:tc>
          <w:tcPr>
            <w:tcW w:w="8900" w:type="dxa"/>
            <w:vAlign w:val="bottom"/>
          </w:tcPr>
          <w:p>
            <w:pPr>
              <w:ind w:left="240"/>
              <w:spacing w:after="0"/>
              <w:rPr>
                <w:sz w:val="20"/>
                <w:szCs w:val="20"/>
                <w:color w:val="auto"/>
              </w:rPr>
            </w:pPr>
            <w:r>
              <w:rPr>
                <w:rFonts w:ascii="Arial" w:cs="Arial" w:eastAsia="Arial" w:hAnsi="Arial"/>
                <w:sz w:val="18"/>
                <w:szCs w:val="18"/>
                <w:color w:val="auto"/>
              </w:rPr>
              <w:t>Sharing of Payments, Etc.</w:t>
            </w: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2.17</w:t>
            </w:r>
          </w:p>
        </w:tc>
        <w:tc>
          <w:tcPr>
            <w:tcW w:w="8900" w:type="dxa"/>
            <w:vAlign w:val="bottom"/>
          </w:tcPr>
          <w:p>
            <w:pPr>
              <w:ind w:left="240"/>
              <w:spacing w:after="0"/>
              <w:rPr>
                <w:sz w:val="20"/>
                <w:szCs w:val="20"/>
                <w:color w:val="auto"/>
              </w:rPr>
            </w:pPr>
            <w:r>
              <w:rPr>
                <w:rFonts w:ascii="Arial" w:cs="Arial" w:eastAsia="Arial" w:hAnsi="Arial"/>
                <w:sz w:val="18"/>
                <w:szCs w:val="18"/>
                <w:color w:val="auto"/>
              </w:rPr>
              <w:t>Evidence of Debt</w:t>
            </w: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2.18</w:t>
            </w:r>
          </w:p>
        </w:tc>
        <w:tc>
          <w:tcPr>
            <w:tcW w:w="890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2.19</w:t>
            </w:r>
          </w:p>
        </w:tc>
        <w:tc>
          <w:tcPr>
            <w:tcW w:w="8900" w:type="dxa"/>
            <w:vAlign w:val="bottom"/>
          </w:tcPr>
          <w:p>
            <w:pPr>
              <w:ind w:left="240"/>
              <w:spacing w:after="0"/>
              <w:rPr>
                <w:sz w:val="20"/>
                <w:szCs w:val="20"/>
                <w:color w:val="auto"/>
              </w:rPr>
            </w:pPr>
            <w:r>
              <w:rPr>
                <w:rFonts w:ascii="Arial" w:cs="Arial" w:eastAsia="Arial" w:hAnsi="Arial"/>
                <w:sz w:val="18"/>
                <w:szCs w:val="18"/>
                <w:color w:val="auto"/>
              </w:rPr>
              <w:t>Increase in the Aggregate Commitments</w:t>
            </w: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2.20</w:t>
            </w:r>
          </w:p>
        </w:tc>
        <w:tc>
          <w:tcPr>
            <w:tcW w:w="8900" w:type="dxa"/>
            <w:vAlign w:val="bottom"/>
          </w:tcPr>
          <w:p>
            <w:pPr>
              <w:ind w:left="240"/>
              <w:spacing w:after="0"/>
              <w:rPr>
                <w:sz w:val="20"/>
                <w:szCs w:val="20"/>
                <w:color w:val="auto"/>
              </w:rPr>
            </w:pPr>
            <w:r>
              <w:rPr>
                <w:rFonts w:ascii="Arial" w:cs="Arial" w:eastAsia="Arial" w:hAnsi="Arial"/>
                <w:sz w:val="18"/>
                <w:szCs w:val="18"/>
                <w:color w:val="auto"/>
              </w:rPr>
              <w:t>Extension of Termination Date</w:t>
            </w: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2.21</w:t>
            </w:r>
          </w:p>
        </w:tc>
        <w:tc>
          <w:tcPr>
            <w:tcW w:w="8900" w:type="dxa"/>
            <w:vAlign w:val="bottom"/>
          </w:tcPr>
          <w:p>
            <w:pPr>
              <w:ind w:left="240"/>
              <w:spacing w:after="0"/>
              <w:rPr>
                <w:sz w:val="20"/>
                <w:szCs w:val="20"/>
                <w:color w:val="auto"/>
              </w:rPr>
            </w:pPr>
            <w:r>
              <w:rPr>
                <w:rFonts w:ascii="Arial" w:cs="Arial" w:eastAsia="Arial" w:hAnsi="Arial"/>
                <w:sz w:val="18"/>
                <w:szCs w:val="18"/>
                <w:color w:val="auto"/>
              </w:rPr>
              <w:t>Defaulting Lenders</w:t>
            </w: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2.22</w:t>
            </w:r>
          </w:p>
        </w:tc>
        <w:tc>
          <w:tcPr>
            <w:tcW w:w="8900" w:type="dxa"/>
            <w:vAlign w:val="bottom"/>
          </w:tcPr>
          <w:p>
            <w:pPr>
              <w:ind w:left="240"/>
              <w:spacing w:after="0"/>
              <w:rPr>
                <w:sz w:val="20"/>
                <w:szCs w:val="20"/>
                <w:color w:val="auto"/>
              </w:rPr>
            </w:pPr>
            <w:r>
              <w:rPr>
                <w:rFonts w:ascii="Arial" w:cs="Arial" w:eastAsia="Arial" w:hAnsi="Arial"/>
                <w:sz w:val="18"/>
                <w:szCs w:val="18"/>
                <w:color w:val="auto"/>
              </w:rPr>
              <w:t>Mitigation, Obligations; Replacement of Lenders</w:t>
            </w: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0400" w:type="dxa"/>
            <w:vAlign w:val="bottom"/>
            <w:gridSpan w:val="2"/>
          </w:tcPr>
          <w:p>
            <w:pPr>
              <w:spacing w:after="0"/>
              <w:rPr>
                <w:sz w:val="20"/>
                <w:szCs w:val="20"/>
                <w:color w:val="auto"/>
              </w:rPr>
            </w:pPr>
            <w:r>
              <w:rPr>
                <w:rFonts w:ascii="Arial" w:cs="Arial" w:eastAsia="Arial" w:hAnsi="Arial"/>
                <w:sz w:val="18"/>
                <w:szCs w:val="18"/>
                <w:color w:val="auto"/>
              </w:rPr>
              <w:t>ARTICLE III CONDITIONS TO EFFECTIVENESS AND LENDING</w:t>
            </w: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8900" w:type="dxa"/>
            <w:vAlign w:val="bottom"/>
          </w:tcPr>
          <w:p>
            <w:pPr>
              <w:ind w:left="240"/>
              <w:spacing w:after="0"/>
              <w:rPr>
                <w:sz w:val="20"/>
                <w:szCs w:val="20"/>
                <w:color w:val="auto"/>
              </w:rPr>
            </w:pPr>
            <w:r>
              <w:rPr>
                <w:rFonts w:ascii="Arial" w:cs="Arial" w:eastAsia="Arial" w:hAnsi="Arial"/>
                <w:sz w:val="18"/>
                <w:szCs w:val="18"/>
                <w:color w:val="auto"/>
              </w:rPr>
              <w:t>Conditions Precedent to Effectiveness</w:t>
            </w: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8900" w:type="dxa"/>
            <w:vAlign w:val="bottom"/>
          </w:tcPr>
          <w:p>
            <w:pPr>
              <w:ind w:left="240"/>
              <w:spacing w:after="0"/>
              <w:rPr>
                <w:sz w:val="20"/>
                <w:szCs w:val="20"/>
                <w:color w:val="auto"/>
              </w:rPr>
            </w:pPr>
            <w:r>
              <w:rPr>
                <w:rFonts w:ascii="Arial" w:cs="Arial" w:eastAsia="Arial" w:hAnsi="Arial"/>
                <w:sz w:val="18"/>
                <w:szCs w:val="18"/>
                <w:color w:val="auto"/>
                <w:w w:val="95"/>
              </w:rPr>
              <w:t>Conditions Precedent to Each Revolving Credit Borrowing, Swing Line Advance, Letter of Credit and Commitment</w:t>
            </w:r>
          </w:p>
        </w:tc>
        <w:tc>
          <w:tcPr>
            <w:tcW w:w="5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Increase</w:t>
            </w: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8900" w:type="dxa"/>
            <w:vAlign w:val="bottom"/>
          </w:tcPr>
          <w:p>
            <w:pPr>
              <w:ind w:left="240"/>
              <w:spacing w:after="0"/>
              <w:rPr>
                <w:sz w:val="20"/>
                <w:szCs w:val="20"/>
                <w:color w:val="auto"/>
              </w:rPr>
            </w:pPr>
            <w:r>
              <w:rPr>
                <w:rFonts w:ascii="Arial" w:cs="Arial" w:eastAsia="Arial" w:hAnsi="Arial"/>
                <w:sz w:val="18"/>
                <w:szCs w:val="18"/>
                <w:color w:val="auto"/>
              </w:rPr>
              <w:t>Determinations Under Section 3.01</w:t>
            </w: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040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w:t>
            </w: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8900" w:type="dxa"/>
            <w:vAlign w:val="bottom"/>
          </w:tcPr>
          <w:p>
            <w:pPr>
              <w:ind w:left="240"/>
              <w:spacing w:after="0"/>
              <w:rPr>
                <w:sz w:val="20"/>
                <w:szCs w:val="20"/>
                <w:color w:val="auto"/>
              </w:rPr>
            </w:pPr>
            <w:r>
              <w:rPr>
                <w:rFonts w:ascii="Arial" w:cs="Arial" w:eastAsia="Arial" w:hAnsi="Arial"/>
                <w:sz w:val="18"/>
                <w:szCs w:val="18"/>
                <w:color w:val="auto"/>
              </w:rPr>
              <w:t>Representations and Warranties of the Borrower</w:t>
            </w: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65"/>
        </w:trPr>
        <w:tc>
          <w:tcPr>
            <w:tcW w:w="1500" w:type="dxa"/>
            <w:vAlign w:val="bottom"/>
          </w:tcPr>
          <w:p>
            <w:pPr>
              <w:spacing w:after="0"/>
              <w:rPr>
                <w:sz w:val="24"/>
                <w:szCs w:val="24"/>
                <w:color w:val="auto"/>
              </w:rPr>
            </w:pPr>
          </w:p>
        </w:tc>
        <w:tc>
          <w:tcPr>
            <w:tcW w:w="8900" w:type="dxa"/>
            <w:vAlign w:val="bottom"/>
          </w:tcPr>
          <w:p>
            <w:pPr>
              <w:ind w:left="3980"/>
              <w:spacing w:after="0"/>
              <w:rPr>
                <w:sz w:val="20"/>
                <w:szCs w:val="20"/>
                <w:color w:val="auto"/>
              </w:rPr>
            </w:pPr>
            <w:r>
              <w:rPr>
                <w:rFonts w:ascii="Arial" w:cs="Arial" w:eastAsia="Arial" w:hAnsi="Arial"/>
                <w:sz w:val="18"/>
                <w:szCs w:val="18"/>
                <w:color w:val="auto"/>
              </w:rPr>
              <w:t>i</w:t>
            </w:r>
          </w:p>
        </w:tc>
        <w:tc>
          <w:tcPr>
            <w:tcW w:w="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ARTICLE V COVENANTS OF THE BORROWER</w:t>
            </w:r>
          </w:p>
        </w:tc>
        <w:tc>
          <w:tcPr>
            <w:tcW w:w="2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7360" w:type="dxa"/>
            <w:vAlign w:val="bottom"/>
          </w:tcPr>
          <w:p>
            <w:pPr>
              <w:ind w:left="240"/>
              <w:spacing w:after="0"/>
              <w:rPr>
                <w:sz w:val="20"/>
                <w:szCs w:val="20"/>
                <w:color w:val="auto"/>
              </w:rPr>
            </w:pPr>
            <w:r>
              <w:rPr>
                <w:rFonts w:ascii="Arial" w:cs="Arial" w:eastAsia="Arial" w:hAnsi="Arial"/>
                <w:sz w:val="18"/>
                <w:szCs w:val="18"/>
                <w:color w:val="auto"/>
              </w:rPr>
              <w:t>Affirmative Covenants</w:t>
            </w:r>
          </w:p>
        </w:tc>
        <w:tc>
          <w:tcPr>
            <w:tcW w:w="2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7360" w:type="dxa"/>
            <w:vAlign w:val="bottom"/>
          </w:tcPr>
          <w:p>
            <w:pPr>
              <w:ind w:left="240"/>
              <w:spacing w:after="0"/>
              <w:rPr>
                <w:sz w:val="20"/>
                <w:szCs w:val="20"/>
                <w:color w:val="auto"/>
              </w:rPr>
            </w:pPr>
            <w:r>
              <w:rPr>
                <w:rFonts w:ascii="Arial" w:cs="Arial" w:eastAsia="Arial" w:hAnsi="Arial"/>
                <w:sz w:val="18"/>
                <w:szCs w:val="18"/>
                <w:color w:val="auto"/>
              </w:rPr>
              <w:t>Negative Covenants</w:t>
            </w:r>
          </w:p>
        </w:tc>
        <w:tc>
          <w:tcPr>
            <w:tcW w:w="21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7360" w:type="dxa"/>
            <w:vAlign w:val="bottom"/>
          </w:tcPr>
          <w:p>
            <w:pPr>
              <w:ind w:left="240"/>
              <w:spacing w:after="0"/>
              <w:rPr>
                <w:sz w:val="20"/>
                <w:szCs w:val="20"/>
                <w:color w:val="auto"/>
              </w:rPr>
            </w:pPr>
            <w:r>
              <w:rPr>
                <w:rFonts w:ascii="Arial" w:cs="Arial" w:eastAsia="Arial" w:hAnsi="Arial"/>
                <w:sz w:val="18"/>
                <w:szCs w:val="18"/>
                <w:color w:val="auto"/>
              </w:rPr>
              <w:t>Financial Covenant</w:t>
            </w:r>
          </w:p>
        </w:tc>
        <w:tc>
          <w:tcPr>
            <w:tcW w:w="21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0"/>
        </w:trPr>
        <w:tc>
          <w:tcPr>
            <w:tcW w:w="8860" w:type="dxa"/>
            <w:vAlign w:val="bottom"/>
            <w:gridSpan w:val="2"/>
          </w:tcPr>
          <w:p>
            <w:pPr>
              <w:spacing w:after="0"/>
              <w:rPr>
                <w:sz w:val="20"/>
                <w:szCs w:val="20"/>
                <w:color w:val="auto"/>
              </w:rPr>
            </w:pPr>
            <w:r>
              <w:rPr>
                <w:rFonts w:ascii="Arial" w:cs="Arial" w:eastAsia="Arial" w:hAnsi="Arial"/>
                <w:sz w:val="18"/>
                <w:szCs w:val="18"/>
                <w:color w:val="auto"/>
              </w:rPr>
              <w:t>ARTICLE VI EVENTS OF DEFAULT</w:t>
            </w:r>
          </w:p>
        </w:tc>
        <w:tc>
          <w:tcPr>
            <w:tcW w:w="21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7360" w:type="dxa"/>
            <w:vAlign w:val="bottom"/>
          </w:tcPr>
          <w:p>
            <w:pPr>
              <w:ind w:left="240"/>
              <w:spacing w:after="0"/>
              <w:rPr>
                <w:sz w:val="20"/>
                <w:szCs w:val="20"/>
                <w:color w:val="auto"/>
              </w:rPr>
            </w:pPr>
            <w:r>
              <w:rPr>
                <w:rFonts w:ascii="Arial" w:cs="Arial" w:eastAsia="Arial" w:hAnsi="Arial"/>
                <w:sz w:val="18"/>
                <w:szCs w:val="18"/>
                <w:color w:val="auto"/>
              </w:rPr>
              <w:t>Events of Default</w:t>
            </w:r>
          </w:p>
        </w:tc>
        <w:tc>
          <w:tcPr>
            <w:tcW w:w="21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color w:val="auto"/>
              </w:rPr>
              <w:t>ARTICLE VII THE AGENT</w:t>
            </w:r>
          </w:p>
        </w:tc>
        <w:tc>
          <w:tcPr>
            <w:tcW w:w="2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360" w:type="dxa"/>
            <w:vAlign w:val="bottom"/>
          </w:tcPr>
          <w:p>
            <w:pPr>
              <w:ind w:left="240"/>
              <w:spacing w:after="0"/>
              <w:rPr>
                <w:sz w:val="20"/>
                <w:szCs w:val="20"/>
                <w:color w:val="auto"/>
              </w:rPr>
            </w:pPr>
            <w:r>
              <w:rPr>
                <w:rFonts w:ascii="Arial" w:cs="Arial" w:eastAsia="Arial" w:hAnsi="Arial"/>
                <w:sz w:val="18"/>
                <w:szCs w:val="18"/>
                <w:color w:val="auto"/>
              </w:rPr>
              <w:t>Appointment and Authority</w:t>
            </w:r>
          </w:p>
        </w:tc>
        <w:tc>
          <w:tcPr>
            <w:tcW w:w="2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360" w:type="dxa"/>
            <w:vAlign w:val="bottom"/>
          </w:tcPr>
          <w:p>
            <w:pPr>
              <w:ind w:left="240"/>
              <w:spacing w:after="0"/>
              <w:rPr>
                <w:sz w:val="20"/>
                <w:szCs w:val="20"/>
                <w:color w:val="auto"/>
              </w:rPr>
            </w:pPr>
            <w:r>
              <w:rPr>
                <w:rFonts w:ascii="Arial" w:cs="Arial" w:eastAsia="Arial" w:hAnsi="Arial"/>
                <w:sz w:val="18"/>
                <w:szCs w:val="18"/>
                <w:color w:val="auto"/>
              </w:rPr>
              <w:t>Rights as a Lender</w:t>
            </w:r>
          </w:p>
        </w:tc>
        <w:tc>
          <w:tcPr>
            <w:tcW w:w="21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360" w:type="dxa"/>
            <w:vAlign w:val="bottom"/>
          </w:tcPr>
          <w:p>
            <w:pPr>
              <w:ind w:left="240"/>
              <w:spacing w:after="0"/>
              <w:rPr>
                <w:sz w:val="20"/>
                <w:szCs w:val="20"/>
                <w:color w:val="auto"/>
              </w:rPr>
            </w:pPr>
            <w:r>
              <w:rPr>
                <w:rFonts w:ascii="Arial" w:cs="Arial" w:eastAsia="Arial" w:hAnsi="Arial"/>
                <w:sz w:val="18"/>
                <w:szCs w:val="18"/>
                <w:color w:val="auto"/>
              </w:rPr>
              <w:t>Exculpatory Provisions</w:t>
            </w:r>
          </w:p>
        </w:tc>
        <w:tc>
          <w:tcPr>
            <w:tcW w:w="21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360" w:type="dxa"/>
            <w:vAlign w:val="bottom"/>
          </w:tcPr>
          <w:p>
            <w:pPr>
              <w:ind w:left="240"/>
              <w:spacing w:after="0"/>
              <w:rPr>
                <w:sz w:val="20"/>
                <w:szCs w:val="20"/>
                <w:color w:val="auto"/>
              </w:rPr>
            </w:pPr>
            <w:r>
              <w:rPr>
                <w:rFonts w:ascii="Arial" w:cs="Arial" w:eastAsia="Arial" w:hAnsi="Arial"/>
                <w:sz w:val="18"/>
                <w:szCs w:val="18"/>
                <w:color w:val="auto"/>
              </w:rPr>
              <w:t>Reliance by Agent</w:t>
            </w:r>
          </w:p>
        </w:tc>
        <w:tc>
          <w:tcPr>
            <w:tcW w:w="21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7360" w:type="dxa"/>
            <w:vAlign w:val="bottom"/>
          </w:tcPr>
          <w:p>
            <w:pPr>
              <w:ind w:left="240"/>
              <w:spacing w:after="0"/>
              <w:rPr>
                <w:sz w:val="20"/>
                <w:szCs w:val="20"/>
                <w:color w:val="auto"/>
              </w:rPr>
            </w:pPr>
            <w:r>
              <w:rPr>
                <w:rFonts w:ascii="Arial" w:cs="Arial" w:eastAsia="Arial" w:hAnsi="Arial"/>
                <w:sz w:val="18"/>
                <w:szCs w:val="18"/>
                <w:color w:val="auto"/>
              </w:rPr>
              <w:t>Delegation of Duties</w:t>
            </w:r>
          </w:p>
        </w:tc>
        <w:tc>
          <w:tcPr>
            <w:tcW w:w="21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7360" w:type="dxa"/>
            <w:vAlign w:val="bottom"/>
          </w:tcPr>
          <w:p>
            <w:pPr>
              <w:ind w:left="240"/>
              <w:spacing w:after="0"/>
              <w:rPr>
                <w:sz w:val="20"/>
                <w:szCs w:val="20"/>
                <w:color w:val="auto"/>
              </w:rPr>
            </w:pPr>
            <w:r>
              <w:rPr>
                <w:rFonts w:ascii="Arial" w:cs="Arial" w:eastAsia="Arial" w:hAnsi="Arial"/>
                <w:sz w:val="18"/>
                <w:szCs w:val="18"/>
                <w:color w:val="auto"/>
              </w:rPr>
              <w:t>Resignation of Agent</w:t>
            </w:r>
          </w:p>
        </w:tc>
        <w:tc>
          <w:tcPr>
            <w:tcW w:w="21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7360" w:type="dxa"/>
            <w:vAlign w:val="bottom"/>
          </w:tcPr>
          <w:p>
            <w:pPr>
              <w:ind w:left="240"/>
              <w:spacing w:after="0"/>
              <w:rPr>
                <w:sz w:val="20"/>
                <w:szCs w:val="20"/>
                <w:color w:val="auto"/>
              </w:rPr>
            </w:pPr>
            <w:r>
              <w:rPr>
                <w:rFonts w:ascii="Arial" w:cs="Arial" w:eastAsia="Arial" w:hAnsi="Arial"/>
                <w:sz w:val="18"/>
                <w:szCs w:val="18"/>
                <w:color w:val="auto"/>
              </w:rPr>
              <w:t>Non-Reliance on Agent and Other Lenders</w:t>
            </w:r>
          </w:p>
        </w:tc>
        <w:tc>
          <w:tcPr>
            <w:tcW w:w="2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7360" w:type="dxa"/>
            <w:vAlign w:val="bottom"/>
          </w:tcPr>
          <w:p>
            <w:pPr>
              <w:ind w:left="240"/>
              <w:spacing w:after="0"/>
              <w:rPr>
                <w:sz w:val="20"/>
                <w:szCs w:val="20"/>
                <w:color w:val="auto"/>
              </w:rPr>
            </w:pPr>
            <w:r>
              <w:rPr>
                <w:rFonts w:ascii="Arial" w:cs="Arial" w:eastAsia="Arial" w:hAnsi="Arial"/>
                <w:sz w:val="18"/>
                <w:szCs w:val="18"/>
                <w:color w:val="auto"/>
              </w:rPr>
              <w:t>No Reliance on Agent’s Customer Identification Program</w:t>
            </w:r>
          </w:p>
        </w:tc>
        <w:tc>
          <w:tcPr>
            <w:tcW w:w="2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7360" w:type="dxa"/>
            <w:vAlign w:val="bottom"/>
          </w:tcPr>
          <w:p>
            <w:pPr>
              <w:ind w:left="240"/>
              <w:spacing w:after="0"/>
              <w:rPr>
                <w:sz w:val="20"/>
                <w:szCs w:val="20"/>
                <w:color w:val="auto"/>
              </w:rPr>
            </w:pPr>
            <w:r>
              <w:rPr>
                <w:rFonts w:ascii="Arial" w:cs="Arial" w:eastAsia="Arial" w:hAnsi="Arial"/>
                <w:sz w:val="18"/>
                <w:szCs w:val="18"/>
                <w:color w:val="auto"/>
              </w:rPr>
              <w:t>Indemnification</w:t>
            </w:r>
          </w:p>
        </w:tc>
        <w:tc>
          <w:tcPr>
            <w:tcW w:w="2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360" w:type="dxa"/>
            <w:vAlign w:val="bottom"/>
          </w:tcPr>
          <w:p>
            <w:pPr>
              <w:ind w:left="240"/>
              <w:spacing w:after="0"/>
              <w:rPr>
                <w:sz w:val="20"/>
                <w:szCs w:val="20"/>
                <w:color w:val="auto"/>
              </w:rPr>
            </w:pPr>
            <w:r>
              <w:rPr>
                <w:rFonts w:ascii="Arial" w:cs="Arial" w:eastAsia="Arial" w:hAnsi="Arial"/>
                <w:sz w:val="18"/>
                <w:szCs w:val="18"/>
                <w:color w:val="auto"/>
              </w:rPr>
              <w:t>No Other Duties, etc.</w:t>
            </w:r>
          </w:p>
        </w:tc>
        <w:tc>
          <w:tcPr>
            <w:tcW w:w="2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color w:val="auto"/>
              </w:rPr>
              <w:t>ARTICLE VIII MISCELLANEOUS</w:t>
            </w:r>
          </w:p>
        </w:tc>
        <w:tc>
          <w:tcPr>
            <w:tcW w:w="2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360" w:type="dxa"/>
            <w:vAlign w:val="bottom"/>
          </w:tcPr>
          <w:p>
            <w:pPr>
              <w:ind w:left="240"/>
              <w:spacing w:after="0"/>
              <w:rPr>
                <w:sz w:val="20"/>
                <w:szCs w:val="20"/>
                <w:color w:val="auto"/>
              </w:rPr>
            </w:pPr>
            <w:r>
              <w:rPr>
                <w:rFonts w:ascii="Arial" w:cs="Arial" w:eastAsia="Arial" w:hAnsi="Arial"/>
                <w:sz w:val="18"/>
                <w:szCs w:val="18"/>
                <w:color w:val="auto"/>
              </w:rPr>
              <w:t>Amendments, Etc.</w:t>
            </w:r>
          </w:p>
        </w:tc>
        <w:tc>
          <w:tcPr>
            <w:tcW w:w="2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360" w:type="dxa"/>
            <w:vAlign w:val="bottom"/>
          </w:tcPr>
          <w:p>
            <w:pPr>
              <w:ind w:left="240"/>
              <w:spacing w:after="0"/>
              <w:rPr>
                <w:sz w:val="20"/>
                <w:szCs w:val="20"/>
                <w:color w:val="auto"/>
              </w:rPr>
            </w:pPr>
            <w:r>
              <w:rPr>
                <w:rFonts w:ascii="Arial" w:cs="Arial" w:eastAsia="Arial" w:hAnsi="Arial"/>
                <w:sz w:val="18"/>
                <w:szCs w:val="18"/>
                <w:color w:val="auto"/>
              </w:rPr>
              <w:t>Notices, Etc.</w:t>
            </w:r>
          </w:p>
        </w:tc>
        <w:tc>
          <w:tcPr>
            <w:tcW w:w="21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7360" w:type="dxa"/>
            <w:vAlign w:val="bottom"/>
          </w:tcPr>
          <w:p>
            <w:pPr>
              <w:ind w:left="240"/>
              <w:spacing w:after="0"/>
              <w:rPr>
                <w:sz w:val="20"/>
                <w:szCs w:val="20"/>
                <w:color w:val="auto"/>
              </w:rPr>
            </w:pPr>
            <w:r>
              <w:rPr>
                <w:rFonts w:ascii="Arial" w:cs="Arial" w:eastAsia="Arial" w:hAnsi="Arial"/>
                <w:sz w:val="18"/>
                <w:szCs w:val="18"/>
                <w:color w:val="auto"/>
              </w:rPr>
              <w:t>No Waiver; Remedies</w:t>
            </w:r>
          </w:p>
        </w:tc>
        <w:tc>
          <w:tcPr>
            <w:tcW w:w="21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7360" w:type="dxa"/>
            <w:vAlign w:val="bottom"/>
          </w:tcPr>
          <w:p>
            <w:pPr>
              <w:ind w:left="240"/>
              <w:spacing w:after="0"/>
              <w:rPr>
                <w:sz w:val="20"/>
                <w:szCs w:val="20"/>
                <w:color w:val="auto"/>
              </w:rPr>
            </w:pPr>
            <w:r>
              <w:rPr>
                <w:rFonts w:ascii="Arial" w:cs="Arial" w:eastAsia="Arial" w:hAnsi="Arial"/>
                <w:sz w:val="18"/>
                <w:szCs w:val="18"/>
                <w:color w:val="auto"/>
              </w:rPr>
              <w:t>Costs and Expenses</w:t>
            </w:r>
          </w:p>
        </w:tc>
        <w:tc>
          <w:tcPr>
            <w:tcW w:w="2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7360" w:type="dxa"/>
            <w:vAlign w:val="bottom"/>
          </w:tcPr>
          <w:p>
            <w:pPr>
              <w:ind w:left="240"/>
              <w:spacing w:after="0"/>
              <w:rPr>
                <w:sz w:val="20"/>
                <w:szCs w:val="20"/>
                <w:color w:val="auto"/>
              </w:rPr>
            </w:pPr>
            <w:r>
              <w:rPr>
                <w:rFonts w:ascii="Arial" w:cs="Arial" w:eastAsia="Arial" w:hAnsi="Arial"/>
                <w:sz w:val="18"/>
                <w:szCs w:val="18"/>
                <w:color w:val="auto"/>
              </w:rPr>
              <w:t>Right of Set off</w:t>
            </w:r>
          </w:p>
        </w:tc>
        <w:tc>
          <w:tcPr>
            <w:tcW w:w="2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8.06</w:t>
            </w:r>
          </w:p>
        </w:tc>
        <w:tc>
          <w:tcPr>
            <w:tcW w:w="7360" w:type="dxa"/>
            <w:vAlign w:val="bottom"/>
          </w:tcPr>
          <w:p>
            <w:pPr>
              <w:ind w:left="240"/>
              <w:spacing w:after="0"/>
              <w:rPr>
                <w:sz w:val="20"/>
                <w:szCs w:val="20"/>
                <w:color w:val="auto"/>
              </w:rPr>
            </w:pPr>
            <w:r>
              <w:rPr>
                <w:rFonts w:ascii="Arial" w:cs="Arial" w:eastAsia="Arial" w:hAnsi="Arial"/>
                <w:sz w:val="18"/>
                <w:szCs w:val="18"/>
                <w:color w:val="auto"/>
              </w:rPr>
              <w:t>Binding Effect</w:t>
            </w:r>
          </w:p>
        </w:tc>
        <w:tc>
          <w:tcPr>
            <w:tcW w:w="2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8.07</w:t>
            </w:r>
          </w:p>
        </w:tc>
        <w:tc>
          <w:tcPr>
            <w:tcW w:w="7360" w:type="dxa"/>
            <w:vAlign w:val="bottom"/>
          </w:tcPr>
          <w:p>
            <w:pPr>
              <w:ind w:left="240"/>
              <w:spacing w:after="0"/>
              <w:rPr>
                <w:sz w:val="20"/>
                <w:szCs w:val="20"/>
                <w:color w:val="auto"/>
              </w:rPr>
            </w:pPr>
            <w:r>
              <w:rPr>
                <w:rFonts w:ascii="Arial" w:cs="Arial" w:eastAsia="Arial" w:hAnsi="Arial"/>
                <w:sz w:val="18"/>
                <w:szCs w:val="18"/>
                <w:color w:val="auto"/>
              </w:rPr>
              <w:t>Assignments and Participations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8.08</w:t>
            </w:r>
          </w:p>
        </w:tc>
        <w:tc>
          <w:tcPr>
            <w:tcW w:w="7360" w:type="dxa"/>
            <w:vAlign w:val="bottom"/>
          </w:tcPr>
          <w:p>
            <w:pPr>
              <w:ind w:left="240"/>
              <w:spacing w:after="0"/>
              <w:rPr>
                <w:sz w:val="20"/>
                <w:szCs w:val="20"/>
                <w:color w:val="auto"/>
              </w:rPr>
            </w:pPr>
            <w:r>
              <w:rPr>
                <w:rFonts w:ascii="Arial" w:cs="Arial" w:eastAsia="Arial" w:hAnsi="Arial"/>
                <w:sz w:val="18"/>
                <w:szCs w:val="18"/>
                <w:color w:val="auto"/>
              </w:rPr>
              <w:t>Confidentiality</w:t>
            </w:r>
          </w:p>
        </w:tc>
        <w:tc>
          <w:tcPr>
            <w:tcW w:w="21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8.09</w:t>
            </w:r>
          </w:p>
        </w:tc>
        <w:tc>
          <w:tcPr>
            <w:tcW w:w="736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2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8.10</w:t>
            </w:r>
          </w:p>
        </w:tc>
        <w:tc>
          <w:tcPr>
            <w:tcW w:w="7360" w:type="dxa"/>
            <w:vAlign w:val="bottom"/>
          </w:tcPr>
          <w:p>
            <w:pPr>
              <w:ind w:left="240"/>
              <w:spacing w:after="0"/>
              <w:rPr>
                <w:sz w:val="20"/>
                <w:szCs w:val="20"/>
                <w:color w:val="auto"/>
              </w:rPr>
            </w:pPr>
            <w:r>
              <w:rPr>
                <w:rFonts w:ascii="Arial" w:cs="Arial" w:eastAsia="Arial" w:hAnsi="Arial"/>
                <w:sz w:val="18"/>
                <w:szCs w:val="18"/>
                <w:color w:val="auto"/>
              </w:rPr>
              <w:t>Execution in Counterparts</w:t>
            </w:r>
          </w:p>
        </w:tc>
        <w:tc>
          <w:tcPr>
            <w:tcW w:w="2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8.11</w:t>
            </w:r>
          </w:p>
        </w:tc>
        <w:tc>
          <w:tcPr>
            <w:tcW w:w="7360" w:type="dxa"/>
            <w:vAlign w:val="bottom"/>
          </w:tcPr>
          <w:p>
            <w:pPr>
              <w:ind w:left="240"/>
              <w:spacing w:after="0"/>
              <w:rPr>
                <w:sz w:val="20"/>
                <w:szCs w:val="20"/>
                <w:color w:val="auto"/>
              </w:rPr>
            </w:pPr>
            <w:r>
              <w:rPr>
                <w:rFonts w:ascii="Arial" w:cs="Arial" w:eastAsia="Arial" w:hAnsi="Arial"/>
                <w:sz w:val="18"/>
                <w:szCs w:val="18"/>
                <w:color w:val="auto"/>
              </w:rPr>
              <w:t>Jurisdiction, Etc.</w:t>
            </w:r>
          </w:p>
        </w:tc>
        <w:tc>
          <w:tcPr>
            <w:tcW w:w="2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8.12</w:t>
            </w:r>
          </w:p>
        </w:tc>
        <w:tc>
          <w:tcPr>
            <w:tcW w:w="7360" w:type="dxa"/>
            <w:vAlign w:val="bottom"/>
          </w:tcPr>
          <w:p>
            <w:pPr>
              <w:ind w:left="240"/>
              <w:spacing w:after="0"/>
              <w:rPr>
                <w:sz w:val="20"/>
                <w:szCs w:val="20"/>
                <w:color w:val="auto"/>
              </w:rPr>
            </w:pPr>
            <w:r>
              <w:rPr>
                <w:rFonts w:ascii="Arial" w:cs="Arial" w:eastAsia="Arial" w:hAnsi="Arial"/>
                <w:sz w:val="18"/>
                <w:szCs w:val="18"/>
                <w:color w:val="auto"/>
              </w:rPr>
              <w:t>Patriot Act Notice</w:t>
            </w:r>
          </w:p>
        </w:tc>
        <w:tc>
          <w:tcPr>
            <w:tcW w:w="2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2"/>
        </w:trPr>
        <w:tc>
          <w:tcPr>
            <w:tcW w:w="1500" w:type="dxa"/>
            <w:vAlign w:val="bottom"/>
          </w:tcPr>
          <w:p>
            <w:pPr>
              <w:ind w:left="360"/>
              <w:spacing w:after="0"/>
              <w:rPr>
                <w:sz w:val="20"/>
                <w:szCs w:val="20"/>
                <w:color w:val="auto"/>
              </w:rPr>
            </w:pPr>
            <w:r>
              <w:rPr>
                <w:rFonts w:ascii="Arial" w:cs="Arial" w:eastAsia="Arial" w:hAnsi="Arial"/>
                <w:sz w:val="18"/>
                <w:szCs w:val="18"/>
                <w:color w:val="auto"/>
              </w:rPr>
              <w:t>Section 8.13</w:t>
            </w:r>
          </w:p>
        </w:tc>
        <w:tc>
          <w:tcPr>
            <w:tcW w:w="7360" w:type="dxa"/>
            <w:vAlign w:val="bottom"/>
          </w:tcPr>
          <w:p>
            <w:pPr>
              <w:ind w:left="240"/>
              <w:spacing w:after="0"/>
              <w:rPr>
                <w:sz w:val="20"/>
                <w:szCs w:val="20"/>
                <w:color w:val="auto"/>
              </w:rPr>
            </w:pPr>
            <w:r>
              <w:rPr>
                <w:rFonts w:ascii="Arial" w:cs="Arial" w:eastAsia="Arial" w:hAnsi="Arial"/>
                <w:sz w:val="18"/>
                <w:szCs w:val="18"/>
                <w:color w:val="auto"/>
              </w:rPr>
              <w:t>No Fiduciary Relationship</w:t>
            </w:r>
          </w:p>
        </w:tc>
        <w:tc>
          <w:tcPr>
            <w:tcW w:w="2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0"/>
        </w:trPr>
        <w:tc>
          <w:tcPr>
            <w:tcW w:w="1500" w:type="dxa"/>
            <w:vAlign w:val="bottom"/>
          </w:tcPr>
          <w:p>
            <w:pPr>
              <w:ind w:left="360"/>
              <w:spacing w:after="0"/>
              <w:rPr>
                <w:sz w:val="20"/>
                <w:szCs w:val="20"/>
                <w:color w:val="auto"/>
              </w:rPr>
            </w:pPr>
            <w:r>
              <w:rPr>
                <w:rFonts w:ascii="Arial" w:cs="Arial" w:eastAsia="Arial" w:hAnsi="Arial"/>
                <w:sz w:val="18"/>
                <w:szCs w:val="18"/>
                <w:color w:val="auto"/>
              </w:rPr>
              <w:t>Section 8.14</w:t>
            </w:r>
          </w:p>
        </w:tc>
        <w:tc>
          <w:tcPr>
            <w:tcW w:w="7360" w:type="dxa"/>
            <w:vAlign w:val="bottom"/>
          </w:tcPr>
          <w:p>
            <w:pPr>
              <w:ind w:left="240"/>
              <w:spacing w:after="0"/>
              <w:rPr>
                <w:sz w:val="20"/>
                <w:szCs w:val="20"/>
                <w:color w:val="auto"/>
              </w:rPr>
            </w:pPr>
            <w:r>
              <w:rPr>
                <w:rFonts w:ascii="Arial" w:cs="Arial" w:eastAsia="Arial" w:hAnsi="Arial"/>
                <w:sz w:val="18"/>
                <w:szCs w:val="18"/>
                <w:b w:val="1"/>
                <w:bCs w:val="1"/>
                <w:color w:val="auto"/>
              </w:rPr>
              <w:t>WAIVER OF JURY TRIAL</w:t>
            </w:r>
          </w:p>
        </w:tc>
        <w:tc>
          <w:tcPr>
            <w:tcW w:w="21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8.15</w:t>
            </w:r>
          </w:p>
        </w:tc>
        <w:tc>
          <w:tcPr>
            <w:tcW w:w="7360" w:type="dxa"/>
            <w:vAlign w:val="bottom"/>
          </w:tcPr>
          <w:p>
            <w:pPr>
              <w:ind w:left="24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1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8.16</w:t>
            </w:r>
          </w:p>
        </w:tc>
        <w:tc>
          <w:tcPr>
            <w:tcW w:w="7360" w:type="dxa"/>
            <w:vAlign w:val="bottom"/>
          </w:tcPr>
          <w:p>
            <w:pPr>
              <w:ind w:left="240"/>
              <w:spacing w:after="0"/>
              <w:rPr>
                <w:sz w:val="20"/>
                <w:szCs w:val="20"/>
                <w:color w:val="auto"/>
              </w:rPr>
            </w:pPr>
            <w:r>
              <w:rPr>
                <w:rFonts w:ascii="Arial" w:cs="Arial" w:eastAsia="Arial" w:hAnsi="Arial"/>
                <w:sz w:val="18"/>
                <w:szCs w:val="18"/>
                <w:color w:val="auto"/>
              </w:rPr>
              <w:t>Acknowledgement Regarding Any Supported QFCs</w:t>
            </w:r>
          </w:p>
        </w:tc>
        <w:tc>
          <w:tcPr>
            <w:tcW w:w="212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I - List of Applicable Lending Offices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II – Lender Commitments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5.02(a) - Existing Liens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9740" w:type="dxa"/>
            <w:vAlign w:val="bottom"/>
          </w:tcPr>
          <w:p>
            <w:pPr>
              <w:spacing w:after="0"/>
              <w:rPr>
                <w:sz w:val="17"/>
                <w:szCs w:val="17"/>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r>
      <w:tr>
        <w:trPr>
          <w:trHeight w:val="344"/>
        </w:trPr>
        <w:tc>
          <w:tcPr>
            <w:tcW w:w="1020" w:type="dxa"/>
            <w:vAlign w:val="bottom"/>
            <w:gridSpan w:val="2"/>
          </w:tcPr>
          <w:p>
            <w:pPr>
              <w:spacing w:after="0"/>
              <w:rPr>
                <w:sz w:val="20"/>
                <w:szCs w:val="20"/>
                <w:color w:val="auto"/>
              </w:rPr>
            </w:pPr>
            <w:r>
              <w:rPr>
                <w:rFonts w:ascii="Arial" w:cs="Arial" w:eastAsia="Arial" w:hAnsi="Arial"/>
                <w:sz w:val="18"/>
                <w:szCs w:val="18"/>
                <w:color w:val="auto"/>
              </w:rPr>
              <w:t>Exhibit A-1</w:t>
            </w:r>
          </w:p>
        </w:tc>
        <w:tc>
          <w:tcPr>
            <w:tcW w:w="9740" w:type="dxa"/>
            <w:vAlign w:val="bottom"/>
          </w:tcPr>
          <w:p>
            <w:pPr>
              <w:ind w:left="180"/>
              <w:spacing w:after="0"/>
              <w:rPr>
                <w:sz w:val="20"/>
                <w:szCs w:val="20"/>
                <w:color w:val="auto"/>
              </w:rPr>
            </w:pPr>
            <w:r>
              <w:rPr>
                <w:rFonts w:ascii="Arial" w:cs="Arial" w:eastAsia="Arial" w:hAnsi="Arial"/>
                <w:sz w:val="18"/>
                <w:szCs w:val="18"/>
                <w:color w:val="auto"/>
              </w:rPr>
              <w:t>-   Form of Revolving Credit Note</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Exhibit A-2</w:t>
            </w:r>
          </w:p>
        </w:tc>
        <w:tc>
          <w:tcPr>
            <w:tcW w:w="9740" w:type="dxa"/>
            <w:vAlign w:val="bottom"/>
          </w:tcPr>
          <w:p>
            <w:pPr>
              <w:ind w:left="180"/>
              <w:spacing w:after="0"/>
              <w:rPr>
                <w:sz w:val="20"/>
                <w:szCs w:val="20"/>
                <w:color w:val="auto"/>
              </w:rPr>
            </w:pPr>
            <w:r>
              <w:rPr>
                <w:rFonts w:ascii="Arial" w:cs="Arial" w:eastAsia="Arial" w:hAnsi="Arial"/>
                <w:sz w:val="18"/>
                <w:szCs w:val="18"/>
                <w:color w:val="auto"/>
              </w:rPr>
              <w:t>-   Form of Swing Line Note</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Exhibit B-1</w:t>
            </w:r>
          </w:p>
        </w:tc>
        <w:tc>
          <w:tcPr>
            <w:tcW w:w="9740" w:type="dxa"/>
            <w:vAlign w:val="bottom"/>
          </w:tcPr>
          <w:p>
            <w:pPr>
              <w:ind w:left="180"/>
              <w:spacing w:after="0"/>
              <w:rPr>
                <w:sz w:val="20"/>
                <w:szCs w:val="20"/>
                <w:color w:val="auto"/>
              </w:rPr>
            </w:pPr>
            <w:r>
              <w:rPr>
                <w:rFonts w:ascii="Arial" w:cs="Arial" w:eastAsia="Arial" w:hAnsi="Arial"/>
                <w:sz w:val="18"/>
                <w:szCs w:val="18"/>
                <w:color w:val="auto"/>
              </w:rPr>
              <w:t>-   Form of Notice of Revolving Credit Borrowing</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Exhibit B-2</w:t>
            </w:r>
          </w:p>
        </w:tc>
        <w:tc>
          <w:tcPr>
            <w:tcW w:w="9740" w:type="dxa"/>
            <w:vAlign w:val="bottom"/>
          </w:tcPr>
          <w:p>
            <w:pPr>
              <w:ind w:left="180"/>
              <w:spacing w:after="0"/>
              <w:rPr>
                <w:sz w:val="20"/>
                <w:szCs w:val="20"/>
                <w:color w:val="auto"/>
              </w:rPr>
            </w:pPr>
            <w:r>
              <w:rPr>
                <w:rFonts w:ascii="Arial" w:cs="Arial" w:eastAsia="Arial" w:hAnsi="Arial"/>
                <w:sz w:val="18"/>
                <w:szCs w:val="18"/>
                <w:color w:val="auto"/>
              </w:rPr>
              <w:t>-   Form of Notice of Swing Line Borrowing</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9740" w:type="dxa"/>
            <w:vAlign w:val="bottom"/>
          </w:tcPr>
          <w:p>
            <w:pPr>
              <w:ind w:left="180"/>
              <w:spacing w:after="0"/>
              <w:rPr>
                <w:sz w:val="20"/>
                <w:szCs w:val="20"/>
                <w:color w:val="auto"/>
              </w:rPr>
            </w:pPr>
            <w:r>
              <w:rPr>
                <w:rFonts w:ascii="Arial" w:cs="Arial" w:eastAsia="Arial" w:hAnsi="Arial"/>
                <w:sz w:val="18"/>
                <w:szCs w:val="18"/>
                <w:color w:val="auto"/>
              </w:rPr>
              <w:t>-   Form of Assignment and Assumption</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Exhibit D-1</w:t>
            </w:r>
          </w:p>
        </w:tc>
        <w:tc>
          <w:tcPr>
            <w:tcW w:w="9740" w:type="dxa"/>
            <w:vAlign w:val="bottom"/>
          </w:tcPr>
          <w:p>
            <w:pPr>
              <w:ind w:left="180"/>
              <w:spacing w:after="0"/>
              <w:rPr>
                <w:sz w:val="20"/>
                <w:szCs w:val="20"/>
                <w:color w:val="auto"/>
              </w:rPr>
            </w:pPr>
            <w:r>
              <w:rPr>
                <w:rFonts w:ascii="Arial" w:cs="Arial" w:eastAsia="Arial" w:hAnsi="Arial"/>
                <w:sz w:val="18"/>
                <w:szCs w:val="18"/>
                <w:color w:val="auto"/>
              </w:rPr>
              <w:t>-   Form of Opinion of Counsel for the Borrower</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Exhibit D-2</w:t>
            </w:r>
          </w:p>
        </w:tc>
        <w:tc>
          <w:tcPr>
            <w:tcW w:w="9740" w:type="dxa"/>
            <w:vAlign w:val="bottom"/>
          </w:tcPr>
          <w:p>
            <w:pPr>
              <w:ind w:left="180"/>
              <w:spacing w:after="0"/>
              <w:rPr>
                <w:sz w:val="20"/>
                <w:szCs w:val="20"/>
                <w:color w:val="auto"/>
              </w:rPr>
            </w:pPr>
            <w:r>
              <w:rPr>
                <w:rFonts w:ascii="Arial" w:cs="Arial" w:eastAsia="Arial" w:hAnsi="Arial"/>
                <w:sz w:val="18"/>
                <w:szCs w:val="18"/>
                <w:color w:val="auto"/>
              </w:rPr>
              <w:t>-   Form of Opinion of In-House Counsel for the Borrower</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Exhibit E-1</w:t>
            </w:r>
          </w:p>
        </w:tc>
        <w:tc>
          <w:tcPr>
            <w:tcW w:w="9740" w:type="dxa"/>
            <w:vAlign w:val="bottom"/>
          </w:tcPr>
          <w:p>
            <w:pPr>
              <w:ind w:left="180"/>
              <w:spacing w:after="0"/>
              <w:rPr>
                <w:sz w:val="20"/>
                <w:szCs w:val="20"/>
                <w:color w:val="auto"/>
              </w:rPr>
            </w:pPr>
            <w:r>
              <w:rPr>
                <w:rFonts w:ascii="Arial" w:cs="Arial" w:eastAsia="Arial" w:hAnsi="Arial"/>
                <w:sz w:val="18"/>
                <w:szCs w:val="18"/>
                <w:color w:val="auto"/>
                <w:w w:val="91"/>
              </w:rPr>
              <w:t>-   Form of U.S. Tax Compliance Certificate For Foreign Lenders That Are Not Partnerships For U.S. Federal Income Tax Purposes</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Exhibit E-2</w:t>
            </w:r>
          </w:p>
        </w:tc>
        <w:tc>
          <w:tcPr>
            <w:tcW w:w="9740" w:type="dxa"/>
            <w:vAlign w:val="bottom"/>
          </w:tcPr>
          <w:p>
            <w:pPr>
              <w:ind w:left="180"/>
              <w:spacing w:after="0"/>
              <w:rPr>
                <w:sz w:val="20"/>
                <w:szCs w:val="20"/>
                <w:color w:val="auto"/>
              </w:rPr>
            </w:pPr>
            <w:r>
              <w:rPr>
                <w:rFonts w:ascii="Arial" w:cs="Arial" w:eastAsia="Arial" w:hAnsi="Arial"/>
                <w:sz w:val="18"/>
                <w:szCs w:val="18"/>
                <w:color w:val="auto"/>
                <w:w w:val="96"/>
              </w:rPr>
              <w:t>-   Form of U.S. Tax Compliance Certificate For Foreign Participants That Are Not Partnerships For U.S. Federal Income Tax</w:t>
            </w:r>
          </w:p>
        </w:tc>
      </w:tr>
      <w:tr>
        <w:trPr>
          <w:trHeight w:val="216"/>
        </w:trPr>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740" w:type="dxa"/>
            <w:vAlign w:val="bottom"/>
          </w:tcPr>
          <w:p>
            <w:pPr>
              <w:ind w:left="460"/>
              <w:spacing w:after="0"/>
              <w:rPr>
                <w:sz w:val="20"/>
                <w:szCs w:val="20"/>
                <w:color w:val="auto"/>
              </w:rPr>
            </w:pPr>
            <w:r>
              <w:rPr>
                <w:rFonts w:ascii="Arial" w:cs="Arial" w:eastAsia="Arial" w:hAnsi="Arial"/>
                <w:sz w:val="18"/>
                <w:szCs w:val="18"/>
                <w:color w:val="auto"/>
              </w:rPr>
              <w:t>Purposes</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Exhibit E-3</w:t>
            </w:r>
          </w:p>
        </w:tc>
        <w:tc>
          <w:tcPr>
            <w:tcW w:w="9740" w:type="dxa"/>
            <w:vAlign w:val="bottom"/>
          </w:tcPr>
          <w:p>
            <w:pPr>
              <w:ind w:left="180"/>
              <w:spacing w:after="0"/>
              <w:rPr>
                <w:sz w:val="20"/>
                <w:szCs w:val="20"/>
                <w:color w:val="auto"/>
              </w:rPr>
            </w:pPr>
            <w:r>
              <w:rPr>
                <w:rFonts w:ascii="Arial" w:cs="Arial" w:eastAsia="Arial" w:hAnsi="Arial"/>
                <w:sz w:val="18"/>
                <w:szCs w:val="18"/>
                <w:color w:val="auto"/>
                <w:w w:val="91"/>
              </w:rPr>
              <w:t>-   Form of U.S. Tax Compliance Certificate For Foreign Participants That Are Partnerships For U.S. Federal Income Tax Purposes</w:t>
            </w:r>
          </w:p>
        </w:tc>
      </w:tr>
      <w:tr>
        <w:trPr>
          <w:trHeight w:val="230"/>
        </w:trPr>
        <w:tc>
          <w:tcPr>
            <w:tcW w:w="1020" w:type="dxa"/>
            <w:vAlign w:val="bottom"/>
            <w:gridSpan w:val="2"/>
          </w:tcPr>
          <w:p>
            <w:pPr>
              <w:spacing w:after="0"/>
              <w:rPr>
                <w:sz w:val="20"/>
                <w:szCs w:val="20"/>
                <w:color w:val="auto"/>
              </w:rPr>
            </w:pPr>
            <w:r>
              <w:rPr>
                <w:rFonts w:ascii="Arial" w:cs="Arial" w:eastAsia="Arial" w:hAnsi="Arial"/>
                <w:sz w:val="18"/>
                <w:szCs w:val="18"/>
                <w:color w:val="auto"/>
              </w:rPr>
              <w:t>Exhibit E-4</w:t>
            </w:r>
          </w:p>
        </w:tc>
        <w:tc>
          <w:tcPr>
            <w:tcW w:w="9740" w:type="dxa"/>
            <w:vAlign w:val="bottom"/>
          </w:tcPr>
          <w:p>
            <w:pPr>
              <w:ind w:left="180"/>
              <w:spacing w:after="0"/>
              <w:rPr>
                <w:sz w:val="20"/>
                <w:szCs w:val="20"/>
                <w:color w:val="auto"/>
              </w:rPr>
            </w:pPr>
            <w:r>
              <w:rPr>
                <w:rFonts w:ascii="Arial" w:cs="Arial" w:eastAsia="Arial" w:hAnsi="Arial"/>
                <w:sz w:val="18"/>
                <w:szCs w:val="18"/>
                <w:color w:val="auto"/>
                <w:w w:val="94"/>
              </w:rPr>
              <w:t>-   Form of U.S. Tax Compliance Certificate For Foreign Lenders That Are Partnerships For U.S. Federal Income Tax Purposes</w:t>
            </w:r>
          </w:p>
        </w:tc>
      </w:tr>
      <w:tr>
        <w:trPr>
          <w:trHeight w:val="729"/>
        </w:trPr>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40" w:type="dxa"/>
            <w:vAlign w:val="bottom"/>
          </w:tcPr>
          <w:p>
            <w:pPr>
              <w:ind w:left="4420"/>
              <w:spacing w:after="0"/>
              <w:rPr>
                <w:sz w:val="20"/>
                <w:szCs w:val="20"/>
                <w:color w:val="auto"/>
              </w:rPr>
            </w:pPr>
            <w:r>
              <w:rPr>
                <w:rFonts w:ascii="Arial" w:cs="Arial" w:eastAsia="Arial" w:hAnsi="Arial"/>
                <w:sz w:val="18"/>
                <w:szCs w:val="18"/>
                <w:color w:val="auto"/>
              </w:rPr>
              <w:t>iii</w:t>
            </w:r>
          </w:p>
        </w:tc>
      </w:tr>
    </w:tbl>
    <w:p>
      <w:pPr>
        <w:ind w:left="4420"/>
        <w:spacing w:after="0"/>
        <w:rPr>
          <w:sz w:val="20"/>
          <w:szCs w:val="20"/>
          <w:color w:val="auto"/>
        </w:rPr>
        <w:sectPr>
          <w:pgSz w:w="11900" w:h="16838" w:orient="portrait"/>
          <w:cols w:equalWidth="0" w:num="1">
            <w:col w:w="10760"/>
          </w:cols>
          <w:pgMar w:left="440" w:top="257" w:right="6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AGREEMENT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Dated as of June 27, 2019</w:t>
      </w:r>
    </w:p>
    <w:p>
      <w:pPr>
        <w:spacing w:after="0" w:line="225"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UGI UTILITIES, INC., a Pennsylvania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banks, financial institutions and other institutional lenders (the “</w:t>
      </w:r>
      <w:r>
        <w:rPr>
          <w:rFonts w:ascii="Arial" w:cs="Arial" w:eastAsia="Arial" w:hAnsi="Arial"/>
          <w:sz w:val="18"/>
          <w:szCs w:val="18"/>
          <w:u w:val="single" w:color="auto"/>
          <w:color w:val="auto"/>
        </w:rPr>
        <w:t>Initial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 listed on the signature pages hereof, PNC BANK, NATIONAL ASSOCIATION, as administrative agent (in such capacity, the “</w:t>
      </w:r>
      <w:r>
        <w:rPr>
          <w:rFonts w:ascii="Arial" w:cs="Arial" w:eastAsia="Arial" w:hAnsi="Arial"/>
          <w:sz w:val="18"/>
          <w:szCs w:val="18"/>
          <w:u w:val="single" w:color="auto"/>
          <w:color w:val="auto"/>
        </w:rPr>
        <w:t>Agent</w:t>
      </w:r>
      <w:r>
        <w:rPr>
          <w:rFonts w:ascii="Arial" w:cs="Arial" w:eastAsia="Arial" w:hAnsi="Arial"/>
          <w:sz w:val="18"/>
          <w:szCs w:val="18"/>
          <w:color w:val="auto"/>
        </w:rPr>
        <w:t>”) for the Lenders (as hereinafter defined), and CITIZENS BANK, N.A., as syndication agent, agree as follows:</w:t>
      </w:r>
    </w:p>
    <w:p>
      <w:pPr>
        <w:spacing w:after="0" w:line="18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such parties hereby agree as follows:</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DEFINITIONS AND ACCOUNTING TERMS</w:t>
      </w:r>
    </w:p>
    <w:p>
      <w:pPr>
        <w:spacing w:after="0" w:line="225"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As used in this Agreement, the following terms shall have the following meanings (such meanings to be equally applicable to both the singular and plural forms of the terms defined):</w:t>
      </w:r>
    </w:p>
    <w:p>
      <w:pPr>
        <w:spacing w:after="0" w:line="62" w:lineRule="exact"/>
        <w:rPr>
          <w:sz w:val="20"/>
          <w:szCs w:val="20"/>
          <w:color w:val="auto"/>
        </w:rPr>
      </w:pPr>
    </w:p>
    <w:p>
      <w:pPr>
        <w:ind w:left="440" w:firstLine="42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Accounts Receivable Securitization</w:t>
      </w:r>
      <w:r>
        <w:rPr>
          <w:rFonts w:ascii="Arial" w:cs="Arial" w:eastAsia="Arial" w:hAnsi="Arial"/>
          <w:sz w:val="16"/>
          <w:szCs w:val="16"/>
          <w:color w:val="auto"/>
        </w:rPr>
        <w:t>” means a financing arrangement involving the transfer or sale of accounts receivable of the Borrower and its Subsidiaries in the ordinary course of business through one or more SPEs, the terms of which arrangement do not impose (a) any recourse or repurchase obligations upon the Borrower and its Subsidiaries or any Affiliate of the Borrower and its Subsidiaries (other than any such SPE) except to the extent of the breach of a representation or warranty by the Borrower and its Subsidiaries in connection therewith or (b) any negative pledge or Lien on any accounts receivable not actually transferred to any such SPE in connection with such arrangement.</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means a Revolving Credit Advance or a Swing Line Advance.</w:t>
      </w:r>
    </w:p>
    <w:p>
      <w:pPr>
        <w:spacing w:after="0" w:line="117" w:lineRule="exact"/>
        <w:rPr>
          <w:sz w:val="20"/>
          <w:szCs w:val="20"/>
          <w:color w:val="auto"/>
        </w:rPr>
      </w:pPr>
    </w:p>
    <w:p>
      <w:pPr>
        <w:ind w:left="440" w:right="60" w:firstLine="42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4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has the meaning specified in the Preamble.</w:t>
      </w:r>
    </w:p>
    <w:p>
      <w:pPr>
        <w:spacing w:after="0" w:line="117" w:lineRule="exact"/>
        <w:rPr>
          <w:sz w:val="20"/>
          <w:szCs w:val="20"/>
          <w:color w:val="auto"/>
        </w:rPr>
      </w:pPr>
    </w:p>
    <w:p>
      <w:pPr>
        <w:ind w:left="440" w:right="44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Account</w:t>
      </w:r>
      <w:r>
        <w:rPr>
          <w:rFonts w:ascii="Arial" w:cs="Arial" w:eastAsia="Arial" w:hAnsi="Arial"/>
          <w:sz w:val="18"/>
          <w:szCs w:val="18"/>
          <w:color w:val="auto"/>
        </w:rPr>
        <w:t>” means the account of the Agent maintained by the Agent at its office at PNC Firstside Center, 500 First Avenue, Pittsburgh, PA 15219, ABA 043 000 096; Account Name: Wire Suspense- Agency Services; Account #13076-001-7005 and reference UGI Utilities.</w:t>
      </w:r>
    </w:p>
    <w:p>
      <w:pPr>
        <w:sectPr>
          <w:pgSz w:w="11900" w:h="16838" w:orient="portrait"/>
          <w:cols w:equalWidth="0" w:num="1">
            <w:col w:w="10920"/>
          </w:cols>
          <w:pgMar w:left="440" w:top="274" w:right="539" w:bottom="1440" w:gutter="0" w:footer="0" w:header="0"/>
        </w:sectPr>
      </w:pPr>
    </w:p>
    <w:bookmarkStart w:id="10" w:name="page11"/>
    <w:bookmarkEnd w:id="10"/>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 as amended, restated, supplemented or otherwise modified from time to time.</w:t>
      </w:r>
    </w:p>
    <w:p>
      <w:pPr>
        <w:spacing w:after="0" w:line="117" w:lineRule="exact"/>
        <w:rPr>
          <w:sz w:val="20"/>
          <w:szCs w:val="20"/>
          <w:color w:val="auto"/>
        </w:rPr>
      </w:pPr>
    </w:p>
    <w:p>
      <w:pPr>
        <w:jc w:val="both"/>
        <w:ind w:right="56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any Covered Person from time to time concerning or relating to bribery or corruption, including, without limitation, the FCPA and the U.K. Bribery Act of 2010 and the rules and regulations thereunder.</w:t>
      </w:r>
    </w:p>
    <w:p>
      <w:pPr>
        <w:spacing w:after="0" w:line="73" w:lineRule="exact"/>
        <w:rPr>
          <w:sz w:val="20"/>
          <w:szCs w:val="20"/>
          <w:color w:val="auto"/>
        </w:rPr>
      </w:pPr>
    </w:p>
    <w:p>
      <w:pPr>
        <w:ind w:right="300" w:firstLine="42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Anti-Terrorism Laws</w:t>
      </w:r>
      <w:r>
        <w:rPr>
          <w:rFonts w:ascii="Arial" w:cs="Arial" w:eastAsia="Arial" w:hAnsi="Arial"/>
          <w:sz w:val="16"/>
          <w:szCs w:val="16"/>
          <w:color w:val="auto"/>
        </w:rPr>
        <w:t>” means any laws relating to terrorism trade sanctions, program and embargoes, import/export licensing, money laundering, including Executive Order No. 13224, the Patriot Act, the laws comprising or implementing the Bank Secrecy Act, and the laws administered by the United States Treasury Department’s Office of Foreign Asset Control, and any regulation, order, or directive promulgated, issued or enforced pursuant to such Law (as any of the foregoing may from time to time be amended, renewed, extended, or replaced).</w:t>
      </w:r>
    </w:p>
    <w:p>
      <w:pPr>
        <w:spacing w:after="0" w:line="46" w:lineRule="exact"/>
        <w:rPr>
          <w:sz w:val="20"/>
          <w:szCs w:val="20"/>
          <w:color w:val="auto"/>
        </w:rPr>
      </w:pPr>
    </w:p>
    <w:p>
      <w:pPr>
        <w:ind w:right="60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with respect to each Lender, such Lender’s Domestic Lending Office in the case of a Base Rate Advance and such Lender’s Eurodollar Lending Office in the case of a Eurodollar Rate Advance.</w:t>
      </w:r>
    </w:p>
    <w:p>
      <w:pPr>
        <w:spacing w:after="0" w:line="62" w:lineRule="exact"/>
        <w:rPr>
          <w:sz w:val="20"/>
          <w:szCs w:val="20"/>
          <w:color w:val="auto"/>
        </w:rPr>
      </w:pPr>
    </w:p>
    <w:p>
      <w:pPr>
        <w:ind w:right="20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as of any date, for Base Rate Advances or Eurodollar Rate Advances, a percentage per annum determined by reference to the Public Debt Rating in effect on such date as set forth below:</w:t>
      </w:r>
    </w:p>
    <w:p>
      <w:pPr>
        <w:spacing w:after="0" w:line="18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020" w:type="dxa"/>
            <w:vAlign w:val="bottom"/>
            <w:gridSpan w:val="4"/>
          </w:tcPr>
          <w:p>
            <w:pPr>
              <w:spacing w:after="0"/>
              <w:rPr>
                <w:sz w:val="20"/>
                <w:szCs w:val="20"/>
                <w:color w:val="auto"/>
              </w:rPr>
            </w:pPr>
            <w:r>
              <w:rPr>
                <w:rFonts w:ascii="Arial" w:cs="Arial" w:eastAsia="Arial" w:hAnsi="Arial"/>
                <w:sz w:val="14"/>
                <w:szCs w:val="14"/>
                <w:color w:val="auto"/>
              </w:rPr>
              <w:t>Public Debt Rating</w:t>
            </w:r>
          </w:p>
        </w:tc>
        <w:tc>
          <w:tcPr>
            <w:tcW w:w="3180" w:type="dxa"/>
            <w:vAlign w:val="bottom"/>
            <w:gridSpan w:val="3"/>
          </w:tcPr>
          <w:p>
            <w:pPr>
              <w:jc w:val="right"/>
              <w:ind w:right="600"/>
              <w:spacing w:after="0"/>
              <w:rPr>
                <w:sz w:val="20"/>
                <w:szCs w:val="20"/>
                <w:color w:val="auto"/>
              </w:rPr>
            </w:pPr>
            <w:r>
              <w:rPr>
                <w:rFonts w:ascii="Arial" w:cs="Arial" w:eastAsia="Arial" w:hAnsi="Arial"/>
                <w:sz w:val="14"/>
                <w:szCs w:val="14"/>
                <w:color w:val="auto"/>
              </w:rPr>
              <w:t>Applicable Margin for</w:t>
            </w:r>
          </w:p>
        </w:tc>
        <w:tc>
          <w:tcPr>
            <w:tcW w:w="480" w:type="dxa"/>
            <w:vAlign w:val="bottom"/>
          </w:tcPr>
          <w:p>
            <w:pPr>
              <w:spacing w:after="0"/>
              <w:rPr>
                <w:sz w:val="14"/>
                <w:szCs w:val="14"/>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4"/>
                <w:szCs w:val="14"/>
                <w:color w:val="auto"/>
              </w:rPr>
              <w:t>Applicable Margin for</w:t>
            </w:r>
          </w:p>
        </w:tc>
      </w:tr>
      <w:tr>
        <w:trPr>
          <w:trHeight w:val="182"/>
        </w:trPr>
        <w:tc>
          <w:tcPr>
            <w:tcW w:w="3020" w:type="dxa"/>
            <w:vAlign w:val="bottom"/>
            <w:gridSpan w:val="4"/>
          </w:tcPr>
          <w:p>
            <w:pPr>
              <w:spacing w:after="0"/>
              <w:rPr>
                <w:sz w:val="20"/>
                <w:szCs w:val="20"/>
                <w:color w:val="auto"/>
              </w:rPr>
            </w:pPr>
            <w:r>
              <w:rPr>
                <w:rFonts w:ascii="Arial" w:cs="Arial" w:eastAsia="Arial" w:hAnsi="Arial"/>
                <w:sz w:val="14"/>
                <w:szCs w:val="14"/>
                <w:color w:val="auto"/>
              </w:rPr>
              <w:t>S&amp;P/Moody’s/Fitch</w:t>
            </w:r>
          </w:p>
        </w:tc>
        <w:tc>
          <w:tcPr>
            <w:tcW w:w="1280" w:type="dxa"/>
            <w:vAlign w:val="bottom"/>
          </w:tcPr>
          <w:p>
            <w:pPr>
              <w:spacing w:after="0"/>
              <w:rPr>
                <w:sz w:val="15"/>
                <w:szCs w:val="15"/>
                <w:color w:val="auto"/>
              </w:rPr>
            </w:pPr>
          </w:p>
        </w:tc>
        <w:tc>
          <w:tcPr>
            <w:tcW w:w="1900" w:type="dxa"/>
            <w:vAlign w:val="bottom"/>
            <w:gridSpan w:val="2"/>
          </w:tcPr>
          <w:p>
            <w:pPr>
              <w:jc w:val="right"/>
              <w:ind w:right="660"/>
              <w:spacing w:after="0"/>
              <w:rPr>
                <w:sz w:val="20"/>
                <w:szCs w:val="20"/>
                <w:color w:val="auto"/>
              </w:rPr>
            </w:pPr>
            <w:r>
              <w:rPr>
                <w:rFonts w:ascii="Arial" w:cs="Arial" w:eastAsia="Arial" w:hAnsi="Arial"/>
                <w:sz w:val="14"/>
                <w:szCs w:val="14"/>
                <w:color w:val="auto"/>
                <w:w w:val="93"/>
              </w:rPr>
              <w:t>Base Rate Advances</w:t>
            </w:r>
          </w:p>
        </w:tc>
        <w:tc>
          <w:tcPr>
            <w:tcW w:w="2180" w:type="dxa"/>
            <w:vAlign w:val="bottom"/>
            <w:gridSpan w:val="3"/>
          </w:tcPr>
          <w:p>
            <w:pPr>
              <w:jc w:val="right"/>
              <w:ind w:right="200"/>
              <w:spacing w:after="0"/>
              <w:rPr>
                <w:sz w:val="20"/>
                <w:szCs w:val="20"/>
                <w:color w:val="auto"/>
              </w:rPr>
            </w:pPr>
            <w:r>
              <w:rPr>
                <w:rFonts w:ascii="Arial" w:cs="Arial" w:eastAsia="Arial" w:hAnsi="Arial"/>
                <w:sz w:val="14"/>
                <w:szCs w:val="14"/>
                <w:color w:val="auto"/>
              </w:rPr>
              <w:t>Eurodollar Rate Advances</w:t>
            </w:r>
          </w:p>
        </w:tc>
      </w:tr>
      <w:tr>
        <w:trPr>
          <w:trHeight w:val="149"/>
        </w:trPr>
        <w:tc>
          <w:tcPr>
            <w:tcW w:w="2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spacing w:after="0" w:line="150" w:lineRule="exact"/>
              <w:rPr>
                <w:sz w:val="20"/>
                <w:szCs w:val="20"/>
                <w:color w:val="auto"/>
              </w:rPr>
            </w:pPr>
            <w:r>
              <w:rPr>
                <w:rFonts w:ascii="Arial" w:cs="Arial" w:eastAsia="Arial" w:hAnsi="Arial"/>
                <w:sz w:val="17"/>
                <w:szCs w:val="17"/>
                <w:color w:val="auto"/>
                <w:w w:val="94"/>
              </w:rPr>
              <w:t>Level 1</w:t>
            </w:r>
          </w:p>
        </w:tc>
        <w:tc>
          <w:tcPr>
            <w:tcW w:w="620" w:type="dxa"/>
            <w:vAlign w:val="bottom"/>
            <w:tcBorders>
              <w:top w:val="single" w:sz="8" w:color="auto"/>
              <w:bottom w:val="single" w:sz="8" w:color="CCEEFF"/>
            </w:tcBorders>
            <w:shd w:val="clear" w:color="auto" w:fill="CCEEFF"/>
          </w:tcPr>
          <w:p>
            <w:pPr>
              <w:spacing w:after="0"/>
              <w:rPr>
                <w:sz w:val="12"/>
                <w:szCs w:val="12"/>
                <w:color w:val="auto"/>
              </w:rPr>
            </w:pPr>
          </w:p>
        </w:tc>
        <w:tc>
          <w:tcPr>
            <w:tcW w:w="1840" w:type="dxa"/>
            <w:vAlign w:val="bottom"/>
            <w:tcBorders>
              <w:top w:val="single" w:sz="8" w:color="CCEEFF"/>
              <w:bottom w:val="single" w:sz="8" w:color="CCEEFF"/>
            </w:tcBorders>
            <w:shd w:val="clear" w:color="auto" w:fill="CCEEFF"/>
          </w:tcPr>
          <w:p>
            <w:pPr>
              <w:spacing w:after="0"/>
              <w:rPr>
                <w:sz w:val="12"/>
                <w:szCs w:val="12"/>
                <w:color w:val="auto"/>
              </w:rPr>
            </w:pPr>
          </w:p>
        </w:tc>
        <w:tc>
          <w:tcPr>
            <w:tcW w:w="1280" w:type="dxa"/>
            <w:vAlign w:val="bottom"/>
            <w:tcBorders>
              <w:top w:val="single" w:sz="8" w:color="CCEEFF"/>
              <w:bottom w:val="single" w:sz="8" w:color="CCEEFF"/>
            </w:tcBorders>
            <w:shd w:val="clear" w:color="auto" w:fill="CCEEFF"/>
          </w:tcPr>
          <w:p>
            <w:pPr>
              <w:spacing w:after="0"/>
              <w:rPr>
                <w:sz w:val="12"/>
                <w:szCs w:val="12"/>
                <w:color w:val="auto"/>
              </w:rPr>
            </w:pPr>
          </w:p>
        </w:tc>
        <w:tc>
          <w:tcPr>
            <w:tcW w:w="1300" w:type="dxa"/>
            <w:vAlign w:val="bottom"/>
            <w:tcBorders>
              <w:top w:val="single" w:sz="8" w:color="auto"/>
              <w:bottom w:val="single" w:sz="8" w:color="CCEEFF"/>
            </w:tcBorders>
            <w:shd w:val="clear" w:color="auto" w:fill="CCEEFF"/>
          </w:tcPr>
          <w:p>
            <w:pPr>
              <w:spacing w:after="0"/>
              <w:rPr>
                <w:sz w:val="12"/>
                <w:szCs w:val="12"/>
                <w:color w:val="auto"/>
              </w:rPr>
            </w:pPr>
          </w:p>
        </w:tc>
        <w:tc>
          <w:tcPr>
            <w:tcW w:w="60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CCEEFF"/>
              <w:bottom w:val="single" w:sz="8" w:color="CCEEFF"/>
            </w:tcBorders>
            <w:shd w:val="clear" w:color="auto" w:fill="CCEEFF"/>
          </w:tcPr>
          <w:p>
            <w:pPr>
              <w:spacing w:after="0"/>
              <w:rPr>
                <w:sz w:val="12"/>
                <w:szCs w:val="12"/>
                <w:color w:val="auto"/>
              </w:rPr>
            </w:pPr>
          </w:p>
        </w:tc>
        <w:tc>
          <w:tcPr>
            <w:tcW w:w="1500" w:type="dxa"/>
            <w:vAlign w:val="bottom"/>
            <w:tcBorders>
              <w:top w:val="single" w:sz="8" w:color="auto"/>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50"/>
        </w:trPr>
        <w:tc>
          <w:tcPr>
            <w:tcW w:w="20" w:type="dxa"/>
            <w:vAlign w:val="bottom"/>
          </w:tcPr>
          <w:p>
            <w:pPr>
              <w:spacing w:after="0"/>
              <w:rPr>
                <w:sz w:val="21"/>
                <w:szCs w:val="21"/>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A/A2/A or above</w:t>
            </w:r>
          </w:p>
        </w:tc>
        <w:tc>
          <w:tcPr>
            <w:tcW w:w="3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2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0.875%</w:t>
            </w:r>
          </w:p>
        </w:tc>
      </w:tr>
      <w:tr>
        <w:trPr>
          <w:trHeight w:val="176"/>
        </w:trPr>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9"/>
              </w:rPr>
              <w:t>Level 2</w:t>
            </w:r>
          </w:p>
        </w:tc>
        <w:tc>
          <w:tcPr>
            <w:tcW w:w="24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0"/>
        </w:trPr>
        <w:tc>
          <w:tcPr>
            <w:tcW w:w="3020" w:type="dxa"/>
            <w:vAlign w:val="bottom"/>
            <w:gridSpan w:val="4"/>
          </w:tcPr>
          <w:p>
            <w:pPr>
              <w:spacing w:after="0"/>
              <w:rPr>
                <w:sz w:val="20"/>
                <w:szCs w:val="20"/>
                <w:color w:val="auto"/>
              </w:rPr>
            </w:pPr>
            <w:r>
              <w:rPr>
                <w:rFonts w:ascii="Arial" w:cs="Arial" w:eastAsia="Arial" w:hAnsi="Arial"/>
                <w:sz w:val="18"/>
                <w:szCs w:val="18"/>
                <w:color w:val="auto"/>
              </w:rPr>
              <w:t>A-/A3/A-</w:t>
            </w:r>
          </w:p>
        </w:tc>
        <w:tc>
          <w:tcPr>
            <w:tcW w:w="3180" w:type="dxa"/>
            <w:vAlign w:val="bottom"/>
            <w:gridSpan w:val="3"/>
          </w:tcPr>
          <w:p>
            <w:pPr>
              <w:jc w:val="right"/>
              <w:ind w:right="460"/>
              <w:spacing w:after="0"/>
              <w:rPr>
                <w:sz w:val="20"/>
                <w:szCs w:val="20"/>
                <w:color w:val="auto"/>
              </w:rPr>
            </w:pPr>
            <w:r>
              <w:rPr>
                <w:rFonts w:ascii="Arial" w:cs="Arial" w:eastAsia="Arial" w:hAnsi="Arial"/>
                <w:sz w:val="18"/>
                <w:szCs w:val="18"/>
                <w:color w:val="auto"/>
              </w:rPr>
              <w:t>0%</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176"/>
        </w:trPr>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Level 3</w:t>
            </w:r>
          </w:p>
        </w:tc>
        <w:tc>
          <w:tcPr>
            <w:tcW w:w="2460" w:type="dxa"/>
            <w:vAlign w:val="bottom"/>
            <w:tcBorders>
              <w:bottom w:val="single" w:sz="8" w:color="CCEEFF"/>
            </w:tcBorders>
            <w:gridSpan w:val="2"/>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BBB+/Baa1/BBB+</w:t>
            </w:r>
          </w:p>
        </w:tc>
        <w:tc>
          <w:tcPr>
            <w:tcW w:w="3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0.125%</w:t>
            </w:r>
          </w:p>
        </w:tc>
        <w:tc>
          <w:tcPr>
            <w:tcW w:w="2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1.125%</w:t>
            </w:r>
          </w:p>
        </w:tc>
      </w:tr>
      <w:tr>
        <w:trPr>
          <w:trHeight w:val="176"/>
        </w:trPr>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9"/>
              </w:rPr>
              <w:t>Level 4</w:t>
            </w:r>
          </w:p>
        </w:tc>
        <w:tc>
          <w:tcPr>
            <w:tcW w:w="24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0"/>
        </w:trPr>
        <w:tc>
          <w:tcPr>
            <w:tcW w:w="3020" w:type="dxa"/>
            <w:vAlign w:val="bottom"/>
            <w:gridSpan w:val="4"/>
          </w:tcPr>
          <w:p>
            <w:pPr>
              <w:spacing w:after="0"/>
              <w:rPr>
                <w:sz w:val="20"/>
                <w:szCs w:val="20"/>
                <w:color w:val="auto"/>
              </w:rPr>
            </w:pPr>
            <w:r>
              <w:rPr>
                <w:rFonts w:ascii="Arial" w:cs="Arial" w:eastAsia="Arial" w:hAnsi="Arial"/>
                <w:sz w:val="18"/>
                <w:szCs w:val="18"/>
                <w:color w:val="auto"/>
              </w:rPr>
              <w:t>BBB/Baa2/BBB</w:t>
            </w:r>
          </w:p>
        </w:tc>
        <w:tc>
          <w:tcPr>
            <w:tcW w:w="3180" w:type="dxa"/>
            <w:vAlign w:val="bottom"/>
            <w:gridSpan w:val="3"/>
          </w:tcPr>
          <w:p>
            <w:pPr>
              <w:jc w:val="right"/>
              <w:ind w:right="460"/>
              <w:spacing w:after="0"/>
              <w:rPr>
                <w:sz w:val="20"/>
                <w:szCs w:val="20"/>
                <w:color w:val="auto"/>
              </w:rPr>
            </w:pPr>
            <w:r>
              <w:rPr>
                <w:rFonts w:ascii="Arial" w:cs="Arial" w:eastAsia="Arial" w:hAnsi="Arial"/>
                <w:sz w:val="18"/>
                <w:szCs w:val="18"/>
                <w:color w:val="auto"/>
              </w:rPr>
              <w:t>0.25%</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1.25%</w:t>
            </w:r>
          </w:p>
        </w:tc>
      </w:tr>
      <w:tr>
        <w:trPr>
          <w:trHeight w:val="176"/>
        </w:trPr>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Level 5</w:t>
            </w:r>
          </w:p>
        </w:tc>
        <w:tc>
          <w:tcPr>
            <w:tcW w:w="2460" w:type="dxa"/>
            <w:vAlign w:val="bottom"/>
            <w:tcBorders>
              <w:bottom w:val="single" w:sz="8" w:color="CCEEFF"/>
            </w:tcBorders>
            <w:gridSpan w:val="2"/>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BBB-/Baa3/BBB-</w:t>
            </w:r>
          </w:p>
        </w:tc>
        <w:tc>
          <w:tcPr>
            <w:tcW w:w="3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0.50%</w:t>
            </w:r>
          </w:p>
        </w:tc>
        <w:tc>
          <w:tcPr>
            <w:tcW w:w="2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r>
      <w:tr>
        <w:trPr>
          <w:trHeight w:val="176"/>
        </w:trPr>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9"/>
              </w:rPr>
              <w:t>Level 6</w:t>
            </w:r>
          </w:p>
        </w:tc>
        <w:tc>
          <w:tcPr>
            <w:tcW w:w="246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0"/>
        </w:trPr>
        <w:tc>
          <w:tcPr>
            <w:tcW w:w="3020" w:type="dxa"/>
            <w:vAlign w:val="bottom"/>
            <w:gridSpan w:val="4"/>
          </w:tcPr>
          <w:p>
            <w:pPr>
              <w:spacing w:after="0"/>
              <w:rPr>
                <w:sz w:val="20"/>
                <w:szCs w:val="20"/>
                <w:color w:val="auto"/>
              </w:rPr>
            </w:pPr>
            <w:r>
              <w:rPr>
                <w:rFonts w:ascii="Arial" w:cs="Arial" w:eastAsia="Arial" w:hAnsi="Arial"/>
                <w:sz w:val="18"/>
                <w:szCs w:val="18"/>
                <w:color w:val="auto"/>
              </w:rPr>
              <w:t>BB+/Ba1/BB+ or lower</w:t>
            </w:r>
          </w:p>
        </w:tc>
        <w:tc>
          <w:tcPr>
            <w:tcW w:w="3180" w:type="dxa"/>
            <w:vAlign w:val="bottom"/>
            <w:gridSpan w:val="3"/>
          </w:tcPr>
          <w:p>
            <w:pPr>
              <w:jc w:val="right"/>
              <w:ind w:right="460"/>
              <w:spacing w:after="0"/>
              <w:rPr>
                <w:sz w:val="20"/>
                <w:szCs w:val="20"/>
                <w:color w:val="auto"/>
              </w:rPr>
            </w:pPr>
            <w:r>
              <w:rPr>
                <w:rFonts w:ascii="Arial" w:cs="Arial" w:eastAsia="Arial" w:hAnsi="Arial"/>
                <w:sz w:val="18"/>
                <w:szCs w:val="18"/>
                <w:color w:val="auto"/>
              </w:rPr>
              <w:t>0.75%</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1.75%</w:t>
            </w:r>
          </w:p>
        </w:tc>
      </w:tr>
    </w:tbl>
    <w:p>
      <w:pPr>
        <w:spacing w:after="0" w:line="202"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Commitment Fee Percentage</w:t>
      </w:r>
      <w:r>
        <w:rPr>
          <w:rFonts w:ascii="Arial" w:cs="Arial" w:eastAsia="Arial" w:hAnsi="Arial"/>
          <w:sz w:val="18"/>
          <w:szCs w:val="18"/>
          <w:color w:val="auto"/>
        </w:rPr>
        <w:t>” means, as of any date, a percentage per annum determined by reference to the Public Debt Rating in effect on such date as set forth below:</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880" w:top="274" w:right="439" w:bottom="1440" w:gutter="0" w:footer="0" w:header="0"/>
        </w:sectPr>
      </w:pPr>
    </w:p>
    <w:bookmarkStart w:id="11" w:name="page12"/>
    <w:bookmarkEnd w:id="11"/>
    <w:tbl>
      <w:tblPr>
        <w:tblLayout w:type="fixed"/>
        <w:tblInd w:w="1340" w:type="dxa"/>
        <w:tblCellMar>
          <w:top w:w="0" w:type="dxa"/>
          <w:left w:w="0" w:type="dxa"/>
          <w:bottom w:w="0" w:type="dxa"/>
          <w:right w:w="0" w:type="dxa"/>
        </w:tblCellMar>
      </w:tblPr>
      <w:tr>
        <w:trPr>
          <w:trHeight w:val="161"/>
        </w:trPr>
        <w:tc>
          <w:tcPr>
            <w:tcW w:w="4180" w:type="dxa"/>
            <w:vAlign w:val="bottom"/>
            <w:gridSpan w:val="3"/>
          </w:tcPr>
          <w:p>
            <w:pPr>
              <w:spacing w:after="0"/>
              <w:rPr>
                <w:sz w:val="20"/>
                <w:szCs w:val="20"/>
                <w:color w:val="auto"/>
              </w:rPr>
            </w:pPr>
            <w:r>
              <w:rPr>
                <w:rFonts w:ascii="Arial" w:cs="Arial" w:eastAsia="Arial" w:hAnsi="Arial"/>
                <w:sz w:val="14"/>
                <w:szCs w:val="14"/>
                <w:color w:val="auto"/>
              </w:rPr>
              <w:t>Public Debt Rating</w:t>
            </w:r>
          </w:p>
        </w:tc>
        <w:tc>
          <w:tcPr>
            <w:tcW w:w="3300" w:type="dxa"/>
            <w:vAlign w:val="bottom"/>
            <w:gridSpan w:val="3"/>
          </w:tcPr>
          <w:p>
            <w:pPr>
              <w:jc w:val="right"/>
              <w:ind w:right="200"/>
              <w:spacing w:after="0"/>
              <w:rPr>
                <w:sz w:val="20"/>
                <w:szCs w:val="20"/>
                <w:color w:val="auto"/>
              </w:rPr>
            </w:pPr>
            <w:r>
              <w:rPr>
                <w:rFonts w:ascii="Arial" w:cs="Arial" w:eastAsia="Arial" w:hAnsi="Arial"/>
                <w:sz w:val="14"/>
                <w:szCs w:val="14"/>
                <w:color w:val="auto"/>
              </w:rPr>
              <w:t>Applicable</w:t>
            </w:r>
          </w:p>
        </w:tc>
      </w:tr>
      <w:tr>
        <w:trPr>
          <w:trHeight w:val="182"/>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6"/>
              </w:rPr>
              <w:t>S&amp;P/Moody’s/Fitch</w:t>
            </w:r>
          </w:p>
        </w:tc>
        <w:tc>
          <w:tcPr>
            <w:tcW w:w="3020" w:type="dxa"/>
            <w:vAlign w:val="bottom"/>
          </w:tcPr>
          <w:p>
            <w:pPr>
              <w:spacing w:after="0"/>
              <w:rPr>
                <w:sz w:val="15"/>
                <w:szCs w:val="15"/>
                <w:color w:val="auto"/>
              </w:rPr>
            </w:pPr>
          </w:p>
        </w:tc>
        <w:tc>
          <w:tcPr>
            <w:tcW w:w="3300" w:type="dxa"/>
            <w:vAlign w:val="bottom"/>
            <w:gridSpan w:val="3"/>
          </w:tcPr>
          <w:p>
            <w:pPr>
              <w:jc w:val="right"/>
              <w:ind w:right="200"/>
              <w:spacing w:after="0"/>
              <w:rPr>
                <w:sz w:val="20"/>
                <w:szCs w:val="20"/>
                <w:color w:val="auto"/>
              </w:rPr>
            </w:pPr>
            <w:r>
              <w:rPr>
                <w:rFonts w:ascii="Arial" w:cs="Arial" w:eastAsia="Arial" w:hAnsi="Arial"/>
                <w:sz w:val="14"/>
                <w:szCs w:val="14"/>
                <w:color w:val="auto"/>
              </w:rPr>
              <w:t>Percentage</w:t>
            </w:r>
          </w:p>
        </w:tc>
      </w:tr>
      <w:tr>
        <w:trPr>
          <w:trHeight w:val="149"/>
        </w:trPr>
        <w:tc>
          <w:tcPr>
            <w:tcW w:w="540" w:type="dxa"/>
            <w:vAlign w:val="bottom"/>
            <w:tcBorders>
              <w:top w:val="single" w:sz="8" w:color="CCEEFF"/>
              <w:bottom w:val="single" w:sz="8" w:color="auto"/>
            </w:tcBorders>
            <w:shd w:val="clear" w:color="auto" w:fill="CCEEFF"/>
          </w:tcPr>
          <w:p>
            <w:pPr>
              <w:spacing w:after="0" w:line="150" w:lineRule="exact"/>
              <w:rPr>
                <w:sz w:val="20"/>
                <w:szCs w:val="20"/>
                <w:color w:val="auto"/>
              </w:rPr>
            </w:pPr>
            <w:r>
              <w:rPr>
                <w:rFonts w:ascii="Arial" w:cs="Arial" w:eastAsia="Arial" w:hAnsi="Arial"/>
                <w:sz w:val="17"/>
                <w:szCs w:val="17"/>
                <w:color w:val="auto"/>
                <w:w w:val="94"/>
              </w:rPr>
              <w:t>Level 1</w:t>
            </w:r>
          </w:p>
        </w:tc>
        <w:tc>
          <w:tcPr>
            <w:tcW w:w="36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4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50"/>
        </w:trPr>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A/A2/A or above</w:t>
            </w:r>
          </w:p>
        </w:tc>
        <w:tc>
          <w:tcPr>
            <w:tcW w:w="3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0.075%</w:t>
            </w:r>
          </w:p>
        </w:tc>
      </w:tr>
      <w:tr>
        <w:trPr>
          <w:trHeight w:val="176"/>
        </w:trPr>
        <w:tc>
          <w:tcPr>
            <w:tcW w:w="54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9"/>
              </w:rPr>
              <w:t>Level 2</w:t>
            </w:r>
          </w:p>
        </w:tc>
        <w:tc>
          <w:tcPr>
            <w:tcW w:w="3640" w:type="dxa"/>
            <w:vAlign w:val="bottom"/>
            <w:gridSpan w:val="2"/>
          </w:tcPr>
          <w:p>
            <w:pPr>
              <w:spacing w:after="0"/>
              <w:rPr>
                <w:sz w:val="15"/>
                <w:szCs w:val="15"/>
                <w:color w:val="auto"/>
              </w:rPr>
            </w:pPr>
          </w:p>
        </w:tc>
        <w:tc>
          <w:tcPr>
            <w:tcW w:w="2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0"/>
        </w:trPr>
        <w:tc>
          <w:tcPr>
            <w:tcW w:w="4180" w:type="dxa"/>
            <w:vAlign w:val="bottom"/>
            <w:gridSpan w:val="3"/>
          </w:tcPr>
          <w:p>
            <w:pPr>
              <w:spacing w:after="0"/>
              <w:rPr>
                <w:sz w:val="20"/>
                <w:szCs w:val="20"/>
                <w:color w:val="auto"/>
              </w:rPr>
            </w:pPr>
            <w:r>
              <w:rPr>
                <w:rFonts w:ascii="Arial" w:cs="Arial" w:eastAsia="Arial" w:hAnsi="Arial"/>
                <w:sz w:val="18"/>
                <w:szCs w:val="18"/>
                <w:color w:val="auto"/>
              </w:rPr>
              <w:t>A-/A3/A-</w:t>
            </w:r>
          </w:p>
        </w:tc>
        <w:tc>
          <w:tcPr>
            <w:tcW w:w="3300" w:type="dxa"/>
            <w:vAlign w:val="bottom"/>
            <w:gridSpan w:val="3"/>
          </w:tcPr>
          <w:p>
            <w:pPr>
              <w:jc w:val="right"/>
              <w:ind w:right="60"/>
              <w:spacing w:after="0"/>
              <w:rPr>
                <w:sz w:val="20"/>
                <w:szCs w:val="20"/>
                <w:color w:val="auto"/>
              </w:rPr>
            </w:pPr>
            <w:r>
              <w:rPr>
                <w:rFonts w:ascii="Arial" w:cs="Arial" w:eastAsia="Arial" w:hAnsi="Arial"/>
                <w:sz w:val="18"/>
                <w:szCs w:val="18"/>
                <w:color w:val="auto"/>
              </w:rPr>
              <w:t>0.10%</w:t>
            </w:r>
          </w:p>
        </w:tc>
      </w:tr>
      <w:tr>
        <w:trPr>
          <w:trHeight w:val="176"/>
        </w:trPr>
        <w:tc>
          <w:tcPr>
            <w:tcW w:w="5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Level 3</w:t>
            </w:r>
          </w:p>
        </w:tc>
        <w:tc>
          <w:tcPr>
            <w:tcW w:w="3640" w:type="dxa"/>
            <w:vAlign w:val="bottom"/>
            <w:tcBorders>
              <w:bottom w:val="single" w:sz="8" w:color="CCEEFF"/>
            </w:tcBorders>
            <w:gridSpan w:val="2"/>
            <w:shd w:val="clear" w:color="auto" w:fill="CCEEFF"/>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r>
      <w:tr>
        <w:trPr>
          <w:trHeight w:val="250"/>
        </w:trPr>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BBB+/Baa1/BBB+</w:t>
            </w:r>
          </w:p>
        </w:tc>
        <w:tc>
          <w:tcPr>
            <w:tcW w:w="3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r>
      <w:tr>
        <w:trPr>
          <w:trHeight w:val="176"/>
        </w:trPr>
        <w:tc>
          <w:tcPr>
            <w:tcW w:w="54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9"/>
              </w:rPr>
              <w:t>Level 4</w:t>
            </w:r>
          </w:p>
        </w:tc>
        <w:tc>
          <w:tcPr>
            <w:tcW w:w="3640" w:type="dxa"/>
            <w:vAlign w:val="bottom"/>
            <w:gridSpan w:val="2"/>
          </w:tcPr>
          <w:p>
            <w:pPr>
              <w:spacing w:after="0"/>
              <w:rPr>
                <w:sz w:val="15"/>
                <w:szCs w:val="15"/>
                <w:color w:val="auto"/>
              </w:rPr>
            </w:pPr>
          </w:p>
        </w:tc>
        <w:tc>
          <w:tcPr>
            <w:tcW w:w="2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0"/>
        </w:trPr>
        <w:tc>
          <w:tcPr>
            <w:tcW w:w="4180" w:type="dxa"/>
            <w:vAlign w:val="bottom"/>
            <w:gridSpan w:val="3"/>
          </w:tcPr>
          <w:p>
            <w:pPr>
              <w:spacing w:after="0"/>
              <w:rPr>
                <w:sz w:val="20"/>
                <w:szCs w:val="20"/>
                <w:color w:val="auto"/>
              </w:rPr>
            </w:pPr>
            <w:r>
              <w:rPr>
                <w:rFonts w:ascii="Arial" w:cs="Arial" w:eastAsia="Arial" w:hAnsi="Arial"/>
                <w:sz w:val="18"/>
                <w:szCs w:val="18"/>
                <w:color w:val="auto"/>
              </w:rPr>
              <w:t>BBB/Baa2/BBB</w:t>
            </w:r>
          </w:p>
        </w:tc>
        <w:tc>
          <w:tcPr>
            <w:tcW w:w="3300" w:type="dxa"/>
            <w:vAlign w:val="bottom"/>
            <w:gridSpan w:val="3"/>
          </w:tcPr>
          <w:p>
            <w:pPr>
              <w:jc w:val="right"/>
              <w:ind w:right="60"/>
              <w:spacing w:after="0"/>
              <w:rPr>
                <w:sz w:val="20"/>
                <w:szCs w:val="20"/>
                <w:color w:val="auto"/>
              </w:rPr>
            </w:pPr>
            <w:r>
              <w:rPr>
                <w:rFonts w:ascii="Arial" w:cs="Arial" w:eastAsia="Arial" w:hAnsi="Arial"/>
                <w:sz w:val="18"/>
                <w:szCs w:val="18"/>
                <w:color w:val="auto"/>
              </w:rPr>
              <w:t>0.175%</w:t>
            </w:r>
          </w:p>
        </w:tc>
      </w:tr>
      <w:tr>
        <w:trPr>
          <w:trHeight w:val="176"/>
        </w:trPr>
        <w:tc>
          <w:tcPr>
            <w:tcW w:w="5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Level 5</w:t>
            </w:r>
          </w:p>
        </w:tc>
        <w:tc>
          <w:tcPr>
            <w:tcW w:w="3640" w:type="dxa"/>
            <w:vAlign w:val="bottom"/>
            <w:tcBorders>
              <w:bottom w:val="single" w:sz="8" w:color="CCEEFF"/>
            </w:tcBorders>
            <w:gridSpan w:val="2"/>
            <w:shd w:val="clear" w:color="auto" w:fill="CCEEFF"/>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r>
      <w:tr>
        <w:trPr>
          <w:trHeight w:val="250"/>
        </w:trPr>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BBB-/Baa3/BBB-</w:t>
            </w:r>
          </w:p>
        </w:tc>
        <w:tc>
          <w:tcPr>
            <w:tcW w:w="3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r>
      <w:tr>
        <w:trPr>
          <w:trHeight w:val="176"/>
        </w:trPr>
        <w:tc>
          <w:tcPr>
            <w:tcW w:w="54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9"/>
              </w:rPr>
              <w:t>Level 6</w:t>
            </w:r>
          </w:p>
        </w:tc>
        <w:tc>
          <w:tcPr>
            <w:tcW w:w="3640" w:type="dxa"/>
            <w:vAlign w:val="bottom"/>
            <w:gridSpan w:val="2"/>
          </w:tcPr>
          <w:p>
            <w:pPr>
              <w:spacing w:after="0"/>
              <w:rPr>
                <w:sz w:val="15"/>
                <w:szCs w:val="15"/>
                <w:color w:val="auto"/>
              </w:rPr>
            </w:pPr>
          </w:p>
        </w:tc>
        <w:tc>
          <w:tcPr>
            <w:tcW w:w="2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0"/>
        </w:trPr>
        <w:tc>
          <w:tcPr>
            <w:tcW w:w="4180" w:type="dxa"/>
            <w:vAlign w:val="bottom"/>
            <w:gridSpan w:val="3"/>
          </w:tcPr>
          <w:p>
            <w:pPr>
              <w:spacing w:after="0"/>
              <w:rPr>
                <w:sz w:val="20"/>
                <w:szCs w:val="20"/>
                <w:color w:val="auto"/>
              </w:rPr>
            </w:pPr>
            <w:r>
              <w:rPr>
                <w:rFonts w:ascii="Arial" w:cs="Arial" w:eastAsia="Arial" w:hAnsi="Arial"/>
                <w:sz w:val="18"/>
                <w:szCs w:val="18"/>
                <w:color w:val="auto"/>
              </w:rPr>
              <w:t>BB+/Ba1/BB+ or lower</w:t>
            </w:r>
          </w:p>
        </w:tc>
        <w:tc>
          <w:tcPr>
            <w:tcW w:w="3300" w:type="dxa"/>
            <w:vAlign w:val="bottom"/>
            <w:gridSpan w:val="3"/>
          </w:tcPr>
          <w:p>
            <w:pPr>
              <w:jc w:val="right"/>
              <w:ind w:right="60"/>
              <w:spacing w:after="0"/>
              <w:rPr>
                <w:sz w:val="20"/>
                <w:szCs w:val="20"/>
                <w:color w:val="auto"/>
              </w:rPr>
            </w:pPr>
            <w:r>
              <w:rPr>
                <w:rFonts w:ascii="Arial" w:cs="Arial" w:eastAsia="Arial" w:hAnsi="Arial"/>
                <w:sz w:val="18"/>
                <w:szCs w:val="18"/>
                <w:color w:val="auto"/>
              </w:rPr>
              <w:t>0.25%</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entered into by a Lender and an Eligible Assignee, and accepted by the Agent, in substantially the form of Exhibit C hereto.</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has the meaning specified in Section 2.19(d).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Assumption Agreement</w:t>
      </w:r>
      <w:r>
        <w:rPr>
          <w:rFonts w:ascii="Arial" w:cs="Arial" w:eastAsia="Arial" w:hAnsi="Arial"/>
          <w:sz w:val="18"/>
          <w:szCs w:val="18"/>
          <w:color w:val="auto"/>
        </w:rPr>
        <w:t>” has the meaning specified in Section 2.19(d)(ii).</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has the meaning specified in Section 2.04(a).</w:t>
      </w:r>
    </w:p>
    <w:p>
      <w:pPr>
        <w:spacing w:after="0" w:line="117" w:lineRule="exact"/>
        <w:rPr>
          <w:sz w:val="20"/>
          <w:szCs w:val="20"/>
          <w:color w:val="auto"/>
        </w:rPr>
      </w:pPr>
    </w:p>
    <w:p>
      <w:pPr>
        <w:ind w:right="1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62" w:lineRule="exact"/>
        <w:rPr>
          <w:sz w:val="20"/>
          <w:szCs w:val="20"/>
          <w:color w:val="auto"/>
        </w:rPr>
      </w:pPr>
    </w:p>
    <w:p>
      <w:pPr>
        <w:ind w:right="2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that is described in the EU Bail-In Legislation Schedule.</w:t>
      </w:r>
    </w:p>
    <w:p>
      <w:pPr>
        <w:spacing w:after="0" w:line="73" w:lineRule="exact"/>
        <w:rPr>
          <w:sz w:val="20"/>
          <w:szCs w:val="20"/>
          <w:color w:val="auto"/>
        </w:rPr>
      </w:pPr>
    </w:p>
    <w:p>
      <w:pPr>
        <w:ind w:right="2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for any day, a fluctuating per annum rate of interest equal to the highest of (a) the Overnight Bank Funding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50 basis points (0.5%), (b) the Prime Rate, and (c) the Daily LIBOR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100 basis points (1.0%). Any change in the Base Rate (or any component thereof) shall take effect at the opening of business on the day such change occurs.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Advance</w:t>
      </w:r>
      <w:r>
        <w:rPr>
          <w:rFonts w:ascii="Arial" w:cs="Arial" w:eastAsia="Arial" w:hAnsi="Arial"/>
          <w:sz w:val="18"/>
          <w:szCs w:val="18"/>
          <w:color w:val="auto"/>
        </w:rPr>
        <w:t>” means a Revolving Credit Advance that bears interest as provided in Section 2.08(a)(i).</w:t>
      </w:r>
    </w:p>
    <w:p>
      <w:pPr>
        <w:spacing w:after="0" w:line="117" w:lineRule="exact"/>
        <w:rPr>
          <w:sz w:val="20"/>
          <w:szCs w:val="20"/>
          <w:color w:val="auto"/>
        </w:rPr>
      </w:pPr>
    </w:p>
    <w:p>
      <w:pPr>
        <w:ind w:right="6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as required by the Beneficial Ownership Regulation.</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62" w:right="459" w:bottom="1440" w:gutter="0" w:footer="0" w:header="0"/>
        </w:sectPr>
      </w:pPr>
    </w:p>
    <w:bookmarkStart w:id="12" w:name="page13"/>
    <w:bookmarkEnd w:id="12"/>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Preamble.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Information</w:t>
      </w:r>
      <w:r>
        <w:rPr>
          <w:rFonts w:ascii="Arial" w:cs="Arial" w:eastAsia="Arial" w:hAnsi="Arial"/>
          <w:sz w:val="18"/>
          <w:szCs w:val="18"/>
          <w:color w:val="auto"/>
        </w:rPr>
        <w:t>” has the meaning specified in Section 8.08.</w:t>
      </w:r>
    </w:p>
    <w:p>
      <w:pPr>
        <w:spacing w:after="0" w:line="117" w:lineRule="exact"/>
        <w:rPr>
          <w:sz w:val="20"/>
          <w:szCs w:val="20"/>
          <w:color w:val="auto"/>
        </w:rPr>
      </w:pPr>
    </w:p>
    <w:p>
      <w:pPr>
        <w:ind w:right="200" w:firstLine="42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of the year on which banks are not required or authorized by law to close in Pittsburgh, Pennsylvania and, if the applicable Business Day relates to any Eurodollar Rate Advances, on which dealings are carried on in the London interbank market.</w:t>
      </w:r>
    </w:p>
    <w:p>
      <w:pPr>
        <w:spacing w:after="0" w:line="16" w:lineRule="exact"/>
        <w:rPr>
          <w:sz w:val="20"/>
          <w:szCs w:val="20"/>
          <w:color w:val="auto"/>
        </w:rPr>
      </w:pPr>
    </w:p>
    <w:p>
      <w:pPr>
        <w:ind w:firstLine="42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Official Body or (c) the making or issuance of any request, rule, guideline or directive (whether or not having the force of law) by any Official Body;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CIP Regulations</w:t>
      </w:r>
      <w:r>
        <w:rPr>
          <w:rFonts w:ascii="Arial" w:cs="Arial" w:eastAsia="Arial" w:hAnsi="Arial"/>
          <w:sz w:val="18"/>
          <w:szCs w:val="18"/>
          <w:color w:val="auto"/>
        </w:rPr>
        <w:t>” has the meaning specified in Section 7.08.</w:t>
      </w:r>
    </w:p>
    <w:p>
      <w:pPr>
        <w:spacing w:after="0" w:line="117" w:lineRule="exact"/>
        <w:rPr>
          <w:sz w:val="20"/>
          <w:szCs w:val="20"/>
          <w:color w:val="auto"/>
        </w:rPr>
      </w:pPr>
    </w:p>
    <w:p>
      <w:pPr>
        <w:jc w:val="both"/>
        <w:ind w:right="40" w:firstLine="42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means, as to any Lender, (a) the amount set forth opposite such Lender’s name on Schedule II hereto, (b) if such Lender has become a Lender hereunder pursuant to an Assumption Agreement, the amount set forth in such Assumption Agreement or (c) if such Lender has entered into an Assignment and Assumption, the amount set forth for such Lender in the Register maintained by the Agent pursuant to Section 8.07(c), as such amount may be reduced or increased pursuant to the terms hereof.</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Date</w:t>
      </w:r>
      <w:r>
        <w:rPr>
          <w:rFonts w:ascii="Arial" w:cs="Arial" w:eastAsia="Arial" w:hAnsi="Arial"/>
          <w:sz w:val="18"/>
          <w:szCs w:val="18"/>
          <w:color w:val="auto"/>
        </w:rPr>
        <w:t>” has the meaning specified in Section 2.19(b).</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Fees</w:t>
      </w:r>
      <w:r>
        <w:rPr>
          <w:rFonts w:ascii="Arial" w:cs="Arial" w:eastAsia="Arial" w:hAnsi="Arial"/>
          <w:sz w:val="18"/>
          <w:szCs w:val="18"/>
          <w:color w:val="auto"/>
        </w:rPr>
        <w:t>” has the meaning specified in Section 2.05(a).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specified in Section 2.19(a).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has the meaning specified in Section 8.02(b).</w:t>
      </w:r>
    </w:p>
    <w:p>
      <w:pPr>
        <w:spacing w:after="0" w:line="117" w:lineRule="exact"/>
        <w:rPr>
          <w:sz w:val="20"/>
          <w:szCs w:val="20"/>
          <w:color w:val="auto"/>
        </w:rPr>
      </w:pPr>
    </w:p>
    <w:p>
      <w:pPr>
        <w:jc w:val="both"/>
        <w:ind w:right="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refers to the consolidation of accounts in accordance with GAAP.</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880" w:top="274" w:right="479" w:bottom="1440" w:gutter="0" w:footer="0" w:header="0"/>
        </w:sectPr>
      </w:pPr>
    </w:p>
    <w:bookmarkStart w:id="13" w:name="page14"/>
    <w:bookmarkEnd w:id="13"/>
    <w:p>
      <w:pPr>
        <w:ind w:right="8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Consolidated Debt</w:t>
      </w:r>
      <w:r>
        <w:rPr>
          <w:rFonts w:ascii="Arial" w:cs="Arial" w:eastAsia="Arial" w:hAnsi="Arial"/>
          <w:sz w:val="18"/>
          <w:szCs w:val="18"/>
          <w:color w:val="auto"/>
        </w:rPr>
        <w:t>” means, with respect to the Borrower, at any date, the Debt (other than Non-recourse Debt) of the Borrower and its Consolidated Subsidiaries, determined on a consolidated basis as of such date.</w:t>
      </w:r>
    </w:p>
    <w:p>
      <w:pPr>
        <w:spacing w:after="0" w:line="170" w:lineRule="exact"/>
        <w:rPr>
          <w:sz w:val="20"/>
          <w:szCs w:val="20"/>
          <w:color w:val="auto"/>
        </w:rPr>
      </w:pPr>
    </w:p>
    <w:p>
      <w:pPr>
        <w:ind w:right="58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Subsidiary</w:t>
      </w:r>
      <w:r>
        <w:rPr>
          <w:rFonts w:ascii="Arial" w:cs="Arial" w:eastAsia="Arial" w:hAnsi="Arial"/>
          <w:sz w:val="16"/>
          <w:szCs w:val="16"/>
          <w:color w:val="auto"/>
        </w:rPr>
        <w:t>” means, with respect to the Borrower, at any date, any Subsidiary or other entity the accounts of which would be consolidated with those of the Borrower in its consolidated financial statements if such statements were prepared as of such date.</w:t>
      </w:r>
    </w:p>
    <w:p>
      <w:pPr>
        <w:spacing w:after="0" w:line="124"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Capital</w:t>
      </w:r>
      <w:r>
        <w:rPr>
          <w:rFonts w:ascii="Arial" w:cs="Arial" w:eastAsia="Arial" w:hAnsi="Arial"/>
          <w:sz w:val="18"/>
          <w:szCs w:val="18"/>
          <w:color w:val="auto"/>
        </w:rPr>
        <w:t xml:space="preserve">” means, with respect to the Borrower, at any date, the sum of (x) Consolidated Debt plus (y) consolidated stockholders’ equity of the Borrower and its Consolidated Subsidiaries, in each case determined at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accumulated other comprehensive income and loss and, without duplication, any non-cash effects resulting from the application of Accounting Standards Codification 715 will be excluded.</w:t>
      </w:r>
    </w:p>
    <w:p>
      <w:pPr>
        <w:spacing w:after="0" w:line="187"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w:t>
      </w:r>
      <w:r>
        <w:rPr>
          <w:rFonts w:ascii="Arial" w:cs="Arial" w:eastAsia="Arial" w:hAnsi="Arial"/>
          <w:sz w:val="18"/>
          <w:szCs w:val="18"/>
          <w:color w:val="auto"/>
        </w:rPr>
        <w:t>”, “</w:t>
      </w:r>
      <w:r>
        <w:rPr>
          <w:rFonts w:ascii="Arial" w:cs="Arial" w:eastAsia="Arial" w:hAnsi="Arial"/>
          <w:sz w:val="18"/>
          <w:szCs w:val="18"/>
          <w:u w:val="single" w:color="auto"/>
          <w:color w:val="auto"/>
        </w:rPr>
        <w:t>Conversion</w:t>
      </w:r>
      <w:r>
        <w:rPr>
          <w:rFonts w:ascii="Arial" w:cs="Arial" w:eastAsia="Arial" w:hAnsi="Arial"/>
          <w:sz w:val="18"/>
          <w:szCs w:val="18"/>
          <w:color w:val="auto"/>
        </w:rPr>
        <w:t>” and “</w:t>
      </w:r>
      <w:r>
        <w:rPr>
          <w:rFonts w:ascii="Arial" w:cs="Arial" w:eastAsia="Arial" w:hAnsi="Arial"/>
          <w:sz w:val="18"/>
          <w:szCs w:val="18"/>
          <w:u w:val="single" w:color="auto"/>
          <w:color w:val="auto"/>
        </w:rPr>
        <w:t>Converted</w:t>
      </w:r>
      <w:r>
        <w:rPr>
          <w:rFonts w:ascii="Arial" w:cs="Arial" w:eastAsia="Arial" w:hAnsi="Arial"/>
          <w:sz w:val="18"/>
          <w:szCs w:val="18"/>
          <w:color w:val="auto"/>
        </w:rPr>
        <w:t>” each refers to a conversion of Revolving Credit Advances of one Type into Revolving Credit Advances of the other Type pursuant to Section 2.09 or 2.10.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Person</w:t>
      </w:r>
      <w:r>
        <w:rPr>
          <w:rFonts w:ascii="Arial" w:cs="Arial" w:eastAsia="Arial" w:hAnsi="Arial"/>
          <w:sz w:val="18"/>
          <w:szCs w:val="18"/>
          <w:color w:val="auto"/>
        </w:rPr>
        <w:t>” means the Borrower or any Subsidiary of the Borrower.</w:t>
      </w:r>
    </w:p>
    <w:p>
      <w:pPr>
        <w:spacing w:after="0" w:line="225"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LIBOR Rate</w:t>
      </w:r>
      <w:r>
        <w:rPr>
          <w:rFonts w:ascii="Arial" w:cs="Arial" w:eastAsia="Arial" w:hAnsi="Arial"/>
          <w:sz w:val="18"/>
          <w:szCs w:val="18"/>
          <w:color w:val="auto"/>
        </w:rPr>
        <w:t xml:space="preserve">” means, for any day, the rate per annum determined by the Agent by dividing (x) the Published Rate by (y) a number equal to 1.00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Eurodollar Rate Reserve Percentage on such day. Notwithstanding the foregoing, if the Daily LIBOR Rate as determined above would be less than zero (0.00), such rate shall be deemed to be zero (0.00) for purposes of this Agreement.</w:t>
      </w:r>
    </w:p>
    <w:p>
      <w:pPr>
        <w:spacing w:after="0" w:line="181"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w:t>
      </w:r>
      <w:r>
        <w:rPr>
          <w:rFonts w:ascii="Arial" w:cs="Arial" w:eastAsia="Arial" w:hAnsi="Arial"/>
          <w:sz w:val="16"/>
          <w:szCs w:val="16"/>
          <w:color w:val="auto"/>
        </w:rPr>
        <w:t>” of any Person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non-contingent obligations of such Person in respect of acceptances, letters of credit or similar extensions of credit, (g) all Debt of others referred to in clauses (a) through (f) above or clause</w:t>
      </w:r>
    </w:p>
    <w:p>
      <w:pPr>
        <w:spacing w:after="0" w:line="3" w:lineRule="exact"/>
        <w:rPr>
          <w:sz w:val="20"/>
          <w:szCs w:val="20"/>
          <w:color w:val="auto"/>
        </w:rPr>
      </w:pPr>
    </w:p>
    <w:p>
      <w:pPr>
        <w:ind w:right="60" w:firstLine="4"/>
        <w:spacing w:after="0" w:line="253"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below (collectively, “</w:t>
      </w:r>
      <w:r>
        <w:rPr>
          <w:rFonts w:ascii="Arial" w:cs="Arial" w:eastAsia="Arial" w:hAnsi="Arial"/>
          <w:sz w:val="18"/>
          <w:szCs w:val="18"/>
          <w:u w:val="single" w:color="auto"/>
          <w:color w:val="auto"/>
        </w:rPr>
        <w:t>Guaranteed Debt</w:t>
      </w:r>
      <w:r>
        <w:rPr>
          <w:rFonts w:ascii="Arial" w:cs="Arial" w:eastAsia="Arial" w:hAnsi="Arial"/>
          <w:sz w:val="18"/>
          <w:szCs w:val="18"/>
          <w:color w:val="auto"/>
        </w:rPr>
        <w:t>”) guaranteed directly or indirectly in any manner by such Person, or in effect guaranteed directly or indirectly by such Person through an agreement (1) to pay or purchase such Guaranteed Debt or to advance or supply funds for the payment or purchase of such Guaranteed Debt, (2) to purchase, sell or lease (as lessee or lessor) property, or to purchase or sell services, primarily for the purpose of enabling the debtor to make payment of such Guaranteed Debt or to assure the holder of such Guaranteed Debt against loss, (3) to supply funds to or in any other manner invest in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debtor (including any agreement to pay for property or services irrespective of whether such property is received or such services are rendered) or</w:t>
      </w:r>
    </w:p>
    <w:p>
      <w:pPr>
        <w:spacing w:after="0" w:line="35" w:lineRule="exact"/>
        <w:rPr>
          <w:sz w:val="20"/>
          <w:szCs w:val="20"/>
          <w:color w:val="auto"/>
        </w:rPr>
      </w:pPr>
    </w:p>
    <w:p>
      <w:pPr>
        <w:jc w:val="both"/>
        <w:ind w:firstLine="4"/>
        <w:spacing w:after="0" w:line="273"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otherwise to assure a creditor against loss, (h) the outstanding attributed principal amount under any asset securitization program of any such Person, and (i) all Debt referred to in clauses (a) through (h) above (including Guaranteed Debt)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7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of Default or any event that would constitute an Event of Default but for the requirement that notice be given or time elapse or both.</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Interest on Revolving Credit Advances and Other Amounts</w:t>
      </w:r>
      <w:r>
        <w:rPr>
          <w:rFonts w:ascii="Arial" w:cs="Arial" w:eastAsia="Arial" w:hAnsi="Arial"/>
          <w:sz w:val="18"/>
          <w:szCs w:val="18"/>
          <w:color w:val="auto"/>
        </w:rPr>
        <w:t>” has the meaning specified in Section 2.08(b).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Interest on Swing Line Advances</w:t>
      </w:r>
      <w:r>
        <w:rPr>
          <w:rFonts w:ascii="Arial" w:cs="Arial" w:eastAsia="Arial" w:hAnsi="Arial"/>
          <w:sz w:val="18"/>
          <w:szCs w:val="18"/>
          <w:color w:val="auto"/>
        </w:rPr>
        <w:t>” has the meaning specified in Section 2.03(e).</w:t>
      </w:r>
    </w:p>
    <w:p>
      <w:pPr>
        <w:spacing w:after="0" w:line="225" w:lineRule="exact"/>
        <w:rPr>
          <w:sz w:val="20"/>
          <w:szCs w:val="20"/>
          <w:color w:val="auto"/>
        </w:rPr>
      </w:pPr>
    </w:p>
    <w:p>
      <w:pPr>
        <w:ind w:right="120" w:firstLine="44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subject to Section 2.21(e), any Lender that (a) has failed to (i) fund all or any portion of its Revolving Credit Advances within two (2) Business Days of the date such Revolving Credit Advances were required to be funded hereunder unless such Lender notifies the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w:t>
      </w:r>
    </w:p>
    <w:p>
      <w:pPr>
        <w:spacing w:after="0" w:line="2" w:lineRule="exact"/>
        <w:rPr>
          <w:sz w:val="20"/>
          <w:szCs w:val="20"/>
          <w:color w:val="auto"/>
        </w:rPr>
      </w:pPr>
    </w:p>
    <w:p>
      <w:pPr>
        <w:ind w:right="40" w:firstLine="4"/>
        <w:spacing w:after="0" w:line="267" w:lineRule="auto"/>
        <w:tabs>
          <w:tab w:leader="none" w:pos="265"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pay to the Agent, the Issuing Lender, the Swing Line Lender or any other Lender any other amount required to be paid by it hereunder (including in respect of its participation in Letters of Credit or Swing Line Advances) within two (2) Business Days of the date when due, (b) has notified the Borrower, the Agent, the Issuing Lender or the Swing Line Lender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Agent or the Borrower, to confirm in writing to the Agent and the Borrower that it will comply with its prospective funding obligations hereunder (provided that such Lender shall cease to be a Defaulting Lender pursuant to this clause (c) upon receipt of such written confirmation by the Agent and the Borrower), (d) has, or has a direct or indirect parent company that has, (i) become the subject of a an Insolvency Proceeding,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(e) has become, or has a direct or indirect parent company that has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5" w:name="page16"/>
    <w:bookmarkEnd w:id="1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solely by virtue of the ownership or acquisition of any Equity Interest in that Lender or any direct or indirect parent company thereof by an Official Body so long as such ownership interest does not result in or provide such Lender with immunity from the jurisdiction of courts within the United States or from the enforcement of judgments or writs of attachment on its assets or permit such Lender (or such Official Body) to reject, repudiate, disavow or disaffirm any contracts or agreements made with such Lender. Any determination by the Agent that a Lender is a Defaulting Lender under clauses</w:t>
      </w:r>
    </w:p>
    <w:p>
      <w:pPr>
        <w:spacing w:after="0" w:line="2" w:lineRule="exact"/>
        <w:rPr>
          <w:sz w:val="20"/>
          <w:szCs w:val="20"/>
          <w:color w:val="auto"/>
        </w:rPr>
      </w:pPr>
    </w:p>
    <w:p>
      <w:pPr>
        <w:ind w:right="340" w:firstLine="4"/>
        <w:spacing w:after="0" w:line="323" w:lineRule="auto"/>
        <w:tabs>
          <w:tab w:leader="none" w:pos="24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through (e) above shall be conclusive and binding absent manifest error, and such Lender shall be deemed to be a Defaulting Lender (subject to Section 2.21(e)) upon delivery of written notice of such determination to the Borrower, the Issuing Lender, the Swing Line Lender and each Lender.</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Litigation</w:t>
      </w:r>
      <w:r>
        <w:rPr>
          <w:rFonts w:ascii="Arial" w:cs="Arial" w:eastAsia="Arial" w:hAnsi="Arial"/>
          <w:sz w:val="18"/>
          <w:szCs w:val="18"/>
          <w:color w:val="auto"/>
        </w:rPr>
        <w:t>” has the meaning specified in Section 3.01(b).</w:t>
      </w:r>
    </w:p>
    <w:p>
      <w:pPr>
        <w:spacing w:after="0" w:line="225"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Lending Office</w:t>
      </w:r>
      <w:r>
        <w:rPr>
          <w:rFonts w:ascii="Arial" w:cs="Arial" w:eastAsia="Arial" w:hAnsi="Arial"/>
          <w:sz w:val="18"/>
          <w:szCs w:val="18"/>
          <w:color w:val="auto"/>
        </w:rPr>
        <w:t>” means, with respect to any Lender, the office of such Lender specified as its “</w:t>
      </w:r>
      <w:r>
        <w:rPr>
          <w:rFonts w:ascii="Arial" w:cs="Arial" w:eastAsia="Arial" w:hAnsi="Arial"/>
          <w:sz w:val="18"/>
          <w:szCs w:val="18"/>
          <w:u w:val="single" w:color="auto"/>
          <w:color w:val="auto"/>
        </w:rPr>
        <w:t>Domestic Lending Office</w:t>
      </w:r>
      <w:r>
        <w:rPr>
          <w:rFonts w:ascii="Arial" w:cs="Arial" w:eastAsia="Arial" w:hAnsi="Arial"/>
          <w:sz w:val="18"/>
          <w:szCs w:val="18"/>
          <w:color w:val="auto"/>
        </w:rPr>
        <w:t>” opposite its name on Schedule I hereto or in the Assumption Agreement or the Assignment and Assumption pursuant to which it became a Lender, or such other office of such Lender as such Lender may from time to time specify to the Borrower and the Agent.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Drawing Date</w:t>
      </w:r>
      <w:r>
        <w:rPr>
          <w:rFonts w:ascii="Arial" w:cs="Arial" w:eastAsia="Arial" w:hAnsi="Arial"/>
          <w:sz w:val="18"/>
          <w:szCs w:val="18"/>
          <w:color w:val="auto"/>
        </w:rPr>
        <w:t>” has the meaning specified in Section 2.04(c)(i).</w:t>
      </w:r>
    </w:p>
    <w:p>
      <w:pPr>
        <w:spacing w:after="0" w:line="225"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w:t>
      </w:r>
    </w:p>
    <w:p>
      <w:pPr>
        <w:ind w:left="240" w:hanging="236"/>
        <w:spacing w:after="0"/>
        <w:tabs>
          <w:tab w:leader="none" w:pos="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of this definition, or (c) any financial institution established in an EEA Member Country that is a subsidiary of an institution described in clauses</w:t>
      </w:r>
    </w:p>
    <w:p>
      <w:pPr>
        <w:spacing w:after="0" w:line="20" w:lineRule="exact"/>
        <w:rPr>
          <w:rFonts w:ascii="Arial" w:cs="Arial" w:eastAsia="Arial" w:hAnsi="Arial"/>
          <w:sz w:val="17"/>
          <w:szCs w:val="17"/>
          <w:color w:val="auto"/>
        </w:rPr>
      </w:pPr>
    </w:p>
    <w:p>
      <w:pPr>
        <w:ind w:left="240" w:hanging="236"/>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 (b) of this definition and is subject to consolidated supervision with its parent.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Lichtenstein, and Norway.</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specified in Section 3.01.</w:t>
      </w:r>
    </w:p>
    <w:p>
      <w:pPr>
        <w:spacing w:after="0" w:line="225"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 with the approval of the Agent and the Issuing Lender, any Lender; (b) with the approval of the Agent and the Issuing Lender, any Affiliate of a Lender that is a commercial bank; and (c) any other Person approved by the Agent and the Issuing Lender and, unless an Event of Default has occurred and is continuing at the time any assignment is effected in accordance with Section 8.07, the Borrower, each such approval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the Borrower, any Defaulting Lender nor any Affiliate of the Borrower or a Defaulting Lender shall qualify as an Eligible Assignee.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6" w:name="page17"/>
    <w:bookmarkEnd w:id="16"/>
    <w:p>
      <w:pPr>
        <w:ind w:right="8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Environmental Action</w:t>
      </w:r>
      <w:r>
        <w:rPr>
          <w:rFonts w:ascii="Arial" w:cs="Arial" w:eastAsia="Arial" w:hAnsi="Arial"/>
          <w:sz w:val="18"/>
          <w:szCs w:val="18"/>
          <w:color w:val="auto"/>
        </w:rPr>
        <w:t>” means any action, suit, demand, demand letter, claim, notice of noncompliance or violation, notice of liability, consent order or consent agreement relating in any way to any Environmental Law, Environmental Permit or arising from alleged injury or threat of injury to health, safety or the environment by any governmental or regulatory authority for enforcement, cleanup, removal, response, remedial or other actions or damages or by any governmental or regulatory authority or any third party for damages, contribution, indemnification, cost recovery, compensation or injunctive relief.</w:t>
      </w:r>
    </w:p>
    <w:p>
      <w:pPr>
        <w:spacing w:after="0" w:line="188"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federal, state, local, municipal or foreign statute, law, ordinance, rule, regulation, code, order, judgment or decree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248"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beneficial interests or other ownership interests, whether voting or nonvoting, in, or interests in the income or profits of, a Person, and any warrants, options or other rights entitling the holder thereof to purchase or acquire any of the foregoing.</w:t>
      </w:r>
    </w:p>
    <w:p>
      <w:pPr>
        <w:spacing w:after="0" w:line="181"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rulings issued thereunder.</w:t>
      </w:r>
    </w:p>
    <w:p>
      <w:pPr>
        <w:spacing w:after="0" w:line="170"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Person that for purposes of Title IV of ERISA is a member of the Borrower’s controlled group, or under common control with the Borrower, within the meaning of Section 414 of the Internal Revenue Code.</w:t>
      </w:r>
    </w:p>
    <w:p>
      <w:pPr>
        <w:spacing w:after="0" w:line="170"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(i) the occurrence of a reportable event, within the meaning of Section 4043 of ERISA, with respect to any Plan unless the 30 day notice requirement with respect to such event has been waived by the PBGC, or (ii) the requirements of subsection (1) of Section 4043(b) of ERISA (without regard to subsection (2) of such Section) are met with respect to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 Section 4062(e) of ERISA; (e) the withdrawal by the Borrower or any ERISA Affiliate from a Single Employer Plan or Multiple Employer Plan during a plan year for which it was a substantial employer, as defined in Section 4001(a)(2) of ERISA; (f) the conditions for the imposition of a lien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7" w:name="page18"/>
    <w:bookmarkEnd w:id="17"/>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Section 302(f) of ERISA shall have been met with respect to any Plan; (g) the adoption of an amendment to a Plan requiring the provision of security to such Plan pursuant to Section 307 of ERISA; (h) the institution by the PBGC of proceedings to terminate a Plan pursuant to Section 4042 of ERISA, or the occurrence of any event or condition described in Section 4042 of ERISA that constitutes grounds for the termination of, or the appointment of a trustee to administer, a Plan; (i) any event or condition which results in the insolvency of a Multiemployer Plan under Sections 4241 or 4245 of ERISA; (j) the receipt by the Borrower or any ERISA Affiliate of a notice from a Multiemployer Plan to which the Borrower or any ERISA Affiliate contributes that such Multiemployer Plan has been determined by its actuary to be in “critical” or “critical and declining” status within the meaning of Section 432(b)(2) or 432(b)(6), respectively, of the Internal Revenue Code; or (k) any event or condition which results in the termination of a Multiemployer Plan under Section 4042 of ERISA.</w:t>
      </w:r>
    </w:p>
    <w:p>
      <w:pPr>
        <w:spacing w:after="0" w:line="179"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Lending Office</w:t>
      </w:r>
      <w:r>
        <w:rPr>
          <w:rFonts w:ascii="Arial" w:cs="Arial" w:eastAsia="Arial" w:hAnsi="Arial"/>
          <w:sz w:val="18"/>
          <w:szCs w:val="18"/>
          <w:color w:val="auto"/>
        </w:rPr>
        <w:t>” means, with respect to any Lender, the office of such Lender specified as its “</w:t>
      </w:r>
      <w:r>
        <w:rPr>
          <w:rFonts w:ascii="Arial" w:cs="Arial" w:eastAsia="Arial" w:hAnsi="Arial"/>
          <w:sz w:val="18"/>
          <w:szCs w:val="18"/>
          <w:u w:val="single" w:color="auto"/>
          <w:color w:val="auto"/>
        </w:rPr>
        <w:t>Eurodollar Lending Office</w:t>
      </w:r>
      <w:r>
        <w:rPr>
          <w:rFonts w:ascii="Arial" w:cs="Arial" w:eastAsia="Arial" w:hAnsi="Arial"/>
          <w:sz w:val="18"/>
          <w:szCs w:val="18"/>
          <w:color w:val="auto"/>
        </w:rPr>
        <w:t>” opposite its name on Schedule I hereto or in the Assumption Agreement or the Assignment and Assumption pursuant to which it became a Lender (or, if no such office is specified, its Domestic Lending Office), or such other office of such Lender as such Lender may from time to time specify to the Borrower and the Agent.</w:t>
      </w:r>
    </w:p>
    <w:p>
      <w:pPr>
        <w:spacing w:after="0" w:line="187" w:lineRule="exact"/>
        <w:rPr>
          <w:sz w:val="20"/>
          <w:szCs w:val="20"/>
          <w:color w:val="auto"/>
        </w:rPr>
      </w:pPr>
    </w:p>
    <w:p>
      <w:pPr>
        <w:ind w:right="60" w:firstLine="44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Rate</w:t>
      </w:r>
      <w:r>
        <w:rPr>
          <w:rFonts w:ascii="Arial" w:cs="Arial" w:eastAsia="Arial" w:hAnsi="Arial"/>
          <w:sz w:val="17"/>
          <w:szCs w:val="17"/>
          <w:color w:val="auto"/>
        </w:rPr>
        <w:t>” means, with respect to each Eurodollar Rate Advance comprising part of the same Revolving Credit Borrowing for any Interest Period, the interest rate per annum determined by the Agent by dividing (the resulting quotient rounded upwards, if necessary, to the nearest 1/100th of 1% per annum) (i) the rate which appears on the Bloomberg Page BBAM1 (or on such other substitute Bloomberg page that displays rates at which US dollar deposits are offered by leading banks in the London interbank deposit market), or the rate which is quoted by another source selected by the Agent as an authorized information vendor for the purpose of displaying rates at which US dollar deposits are offered by leading banks in the London interbank deposit market, at approximately 11:00 a.m., London time, two (2) Business Days prior to the commencement of such Interest Period as the London interbank offered rate for U.S. dollars for an amount comparable to such Revolving Credit Borrowing and having a borrowing date and a maturity comparable to such Interest Period by (ii) a number equal to 1.00 minus the Eurodollar Rate Reserve Percentage. Notwithstanding the foregoing (i) if the Eurodollar Rate as determined under any method above would be less than zero (0.00), such rate shall be deemed to be zero (0.00) for purposes of this Agreement and (ii) the Eurodollar Rate for an Interest Period of two weeks shall, unless otherwise agreed by the Agent, be calculated as if the applicable Interest Period was one month rather than two weeks.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8" w:name="page19"/>
    <w:bookmarkEnd w:id="18"/>
    <w:p>
      <w:pPr>
        <w:ind w:right="8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Eurodollar Rate shall be adjusted with respect to any Eurodollar Rate Advance that is outstanding on the effective date of any change in the Eurodollar Rate Reserve Percentage as of such effective date. The Agent shall give prompt notice to the Borrower of the Eurodollar Rate as determined or adjusted in accordance herewith, which determination shall be conclusive absent manifest error.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Advance</w:t>
      </w:r>
      <w:r>
        <w:rPr>
          <w:rFonts w:ascii="Arial" w:cs="Arial" w:eastAsia="Arial" w:hAnsi="Arial"/>
          <w:sz w:val="18"/>
          <w:szCs w:val="18"/>
          <w:color w:val="auto"/>
        </w:rPr>
        <w:t>” means a Revolving Credit Advance that bears interest as provided in Section 2.08(a)(ii).</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Reserve Percentage</w:t>
      </w:r>
      <w:r>
        <w:rPr>
          <w:rFonts w:ascii="Arial" w:cs="Arial" w:eastAsia="Arial" w:hAnsi="Arial"/>
          <w:sz w:val="18"/>
          <w:szCs w:val="18"/>
          <w:color w:val="auto"/>
        </w:rPr>
        <w:t>” means as of any day the maximum percentage in effect on such day, as prescribed by the Board of Governors of the Federal Reserve System (or any successor) for determining the reserve requirements (including supplemental, marginal and emergency reserve requirements) with respect to eurocurrency funding (currently referred to as “Eurocurrency Liabilities”) maintained by a member bank of the Federal Reserve System.</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Events of Default</w:t>
      </w:r>
      <w:r>
        <w:rPr>
          <w:rFonts w:ascii="Arial" w:cs="Arial" w:eastAsia="Arial" w:hAnsi="Arial"/>
          <w:sz w:val="18"/>
          <w:szCs w:val="18"/>
          <w:color w:val="auto"/>
        </w:rPr>
        <w:t>” has the meaning specified in Section 6.01.</w:t>
      </w:r>
    </w:p>
    <w:p>
      <w:pPr>
        <w:spacing w:after="0" w:line="225" w:lineRule="exact"/>
        <w:rPr>
          <w:sz w:val="20"/>
          <w:szCs w:val="20"/>
          <w:color w:val="auto"/>
        </w:rPr>
      </w:pPr>
    </w:p>
    <w:p>
      <w:pPr>
        <w:ind w:right="280" w:firstLine="44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spacing w:after="0" w:line="2" w:lineRule="exact"/>
        <w:rPr>
          <w:sz w:val="20"/>
          <w:szCs w:val="20"/>
          <w:color w:val="auto"/>
        </w:rPr>
      </w:pPr>
    </w:p>
    <w:p>
      <w:pPr>
        <w:ind w:right="40" w:firstLine="4"/>
        <w:spacing w:after="0" w:line="270" w:lineRule="auto"/>
        <w:tabs>
          <w:tab w:leader="none" w:pos="2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case of a Lender, U.S. federal withholding Taxes imposed on amounts payable to or for the account of such Lender with respect to an applicable interest in an Advance or Commitment pursuant to a law in effect on the date on which (i) such Lender acquires such interest in the Advance or Commitment (other than pursuant to an assignment request by the Borrower under Section 2.22(b)) or (ii) such Lender changes its lending office, except in each case to the extent that, pursuant to Section 2.15, amounts with respect to such Taxes were payable either to such Lender’s assignor immediately before such Lender became a party hereto or to such Lender immediately before it changed its lending office, (c) Taxes attributable to such Recipient’s failure to comply with Section 2.15(g) and (d) any U.S. federal withholding Taxes imposed under FATCA.</w:t>
      </w:r>
    </w:p>
    <w:p>
      <w:pPr>
        <w:spacing w:after="0" w:line="179"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Credit Agreement, dated as of March 27, 2015, among the Borrower, certain of the Lenders and PNC Bank, National Association, as administrative agent, as heretofore amended, supplemented or otherwise modified.</w:t>
      </w:r>
    </w:p>
    <w:p>
      <w:pPr>
        <w:spacing w:after="0" w:line="170"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(or any amended or successor version described above), any intergovernmental agreement among Official Bodies implementing the foregoing and any fiscal or regulatory legislation, rules or practices adopted pursuant to any such intergovernmental agreement, treaty or convention.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9" w:name="page20"/>
    <w:bookmarkEnd w:id="19"/>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 and the rules and regulations thereunder.</w:t>
      </w:r>
    </w:p>
    <w:p>
      <w:pPr>
        <w:spacing w:after="0" w:line="117" w:lineRule="exact"/>
        <w:rPr>
          <w:sz w:val="20"/>
          <w:szCs w:val="20"/>
          <w:color w:val="auto"/>
        </w:rPr>
      </w:pPr>
    </w:p>
    <w:p>
      <w:pPr>
        <w:ind w:firstLine="42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for any day, means the rate per annum (based on a year of 360 days and actual days elapsed and rounded upward to the nearest 1/100 of 1%) announced by the Federal Reserve Bank of New York (or any successor) on such day as being the weighted average of the rates on overnight federal funds transactions on the previous trading day, as computed and announced by such Federal Reserve Bank (or any successor) in substantially the same manner as such Federal Reserve Bank computes and announces the weighted average it refers to as the “Federal Funds Effective Rate” as of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if such Federal Reserve Bank (or its successor) does not announce such rate on any day, the “Federal Funds Rate” for such day shall be the Federal Funds Rate for the last day on which such rate was announced.</w:t>
      </w:r>
    </w:p>
    <w:p>
      <w:pPr>
        <w:spacing w:after="0" w:line="57" w:lineRule="exact"/>
        <w:rPr>
          <w:sz w:val="20"/>
          <w:szCs w:val="20"/>
          <w:color w:val="auto"/>
        </w:rPr>
      </w:pPr>
    </w:p>
    <w:p>
      <w:pPr>
        <w:ind w:right="60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letter dated May 16, 2019, signed by the Borrower, the Agent, and PNC Capital Markets LLC, as a joint lead arranger and joint bookrunner.</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Inc.</w:t>
      </w:r>
    </w:p>
    <w:p>
      <w:pPr>
        <w:spacing w:after="0" w:line="117" w:lineRule="exact"/>
        <w:rPr>
          <w:sz w:val="20"/>
          <w:szCs w:val="20"/>
          <w:color w:val="auto"/>
        </w:rPr>
      </w:pPr>
    </w:p>
    <w:p>
      <w:pPr>
        <w:ind w:firstLine="42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6" w:lineRule="exact"/>
        <w:rPr>
          <w:sz w:val="20"/>
          <w:szCs w:val="20"/>
          <w:color w:val="auto"/>
        </w:rPr>
      </w:pPr>
    </w:p>
    <w:p>
      <w:pPr>
        <w:ind w:right="140" w:firstLine="42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the Issuing Lender, such Defaulting Lender’s Ratable Share of the outstanding Letter of Credit Obligations with respect to Letters of Credit issued by the Issuing Lender other than Letter of Credit Obligations as to which such Defaulting Lender’s participation obligation has been reallocated to other Lenders or cash collateralized in accordance with the terms of Section 2.21 and (b) with respect to the Swing Line Lender, such Defaulting Lender’s Ratable Share of outstanding Swing Line Advances made by the Swing Line Lender other than Swing Line Advances as to which such Defaulting Lender’s participation obligation has been reallocated to other Lenders.</w:t>
      </w:r>
    </w:p>
    <w:p>
      <w:pPr>
        <w:spacing w:after="0" w:line="85" w:lineRule="exact"/>
        <w:rPr>
          <w:sz w:val="20"/>
          <w:szCs w:val="20"/>
          <w:color w:val="auto"/>
        </w:rPr>
      </w:pPr>
    </w:p>
    <w:p>
      <w:pPr>
        <w:ind w:right="28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as in effect from time to time, applied on a basis consistent (except for changes concurred in by the Borrower’s independent public accountants) with the most recent audited consolidated financial statements of the Borrower and its Consolidated Subsidiaries delivered to the Lenders.</w:t>
      </w:r>
    </w:p>
    <w:p>
      <w:pPr>
        <w:spacing w:after="0" w:line="73" w:lineRule="exact"/>
        <w:rPr>
          <w:sz w:val="20"/>
          <w:szCs w:val="20"/>
          <w:color w:val="auto"/>
        </w:rPr>
      </w:pPr>
    </w:p>
    <w:p>
      <w:pPr>
        <w:jc w:val="both"/>
        <w:ind w:right="260" w:firstLine="42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 gasoline, petroleum and petroleum products, byproducts or breakdown products, radioactive materials, asbestos containing materials, polychlorinated biphenyls, radon gas and urea-formaldehyde insulation and (b) any other chemicals, materials or substances designated, classified or regulated as hazardous or toxic or as a pollutant or contaminant under any Environmental Law.</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80" w:top="274" w:right="439" w:bottom="1440" w:gutter="0" w:footer="0" w:header="0"/>
        </w:sectPr>
      </w:pPr>
    </w:p>
    <w:bookmarkStart w:id="20" w:name="page21"/>
    <w:bookmarkEnd w:id="20"/>
    <w:p>
      <w:pPr>
        <w:ind w:right="60" w:firstLine="42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Hedge Agreements</w:t>
      </w:r>
      <w:r>
        <w:rPr>
          <w:rFonts w:ascii="Arial" w:cs="Arial" w:eastAsia="Arial" w:hAnsi="Arial"/>
          <w:sz w:val="17"/>
          <w:szCs w:val="17"/>
          <w:color w:val="auto"/>
        </w:rPr>
        <w:t>” means interest rate swap, cap or collar agreements, interest rate future or option contracts, currency swap agreements, currency future or option contracts, commodity swap agreements or option agreements, commodity future agreements, equity or equity index swap agreements, foreign exchange transaction agreements, floor transaction agreements, cap transaction agreements, collar transaction agreements and other similar agreements or any combination of the foregoing agreements.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ICC</w:t>
      </w:r>
      <w:r>
        <w:rPr>
          <w:rFonts w:ascii="Arial" w:cs="Arial" w:eastAsia="Arial" w:hAnsi="Arial"/>
          <w:sz w:val="18"/>
          <w:szCs w:val="18"/>
          <w:color w:val="auto"/>
        </w:rPr>
        <w:t>” has the meaning specified in Section 8.09.</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Date</w:t>
      </w:r>
      <w:r>
        <w:rPr>
          <w:rFonts w:ascii="Arial" w:cs="Arial" w:eastAsia="Arial" w:hAnsi="Arial"/>
          <w:sz w:val="18"/>
          <w:szCs w:val="18"/>
          <w:color w:val="auto"/>
        </w:rPr>
        <w:t>” has the meaning specified in Section 2.19(a).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specified in Section 2.19(b).</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Costs</w:t>
      </w:r>
      <w:r>
        <w:rPr>
          <w:rFonts w:ascii="Arial" w:cs="Arial" w:eastAsia="Arial" w:hAnsi="Arial"/>
          <w:sz w:val="18"/>
          <w:szCs w:val="18"/>
          <w:color w:val="auto"/>
        </w:rPr>
        <w:t>” has the meaning specified in Section 7.09.</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the meaning specified in Section 8.04(b).</w:t>
      </w:r>
    </w:p>
    <w:p>
      <w:pPr>
        <w:spacing w:after="0" w:line="117" w:lineRule="exact"/>
        <w:rPr>
          <w:sz w:val="20"/>
          <w:szCs w:val="20"/>
          <w:color w:val="auto"/>
        </w:rPr>
      </w:pPr>
    </w:p>
    <w:p>
      <w:pPr>
        <w:ind w:right="20" w:firstLine="42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the Borrower under any Loan Document and (b) to the extent not otherwise described in (a), Other Taxes.</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Lenders</w:t>
      </w:r>
      <w:r>
        <w:rPr>
          <w:rFonts w:ascii="Arial" w:cs="Arial" w:eastAsia="Arial" w:hAnsi="Arial"/>
          <w:sz w:val="18"/>
          <w:szCs w:val="18"/>
          <w:color w:val="auto"/>
        </w:rPr>
        <w:t>” has the meaning specified in the Preamble.</w:t>
      </w:r>
    </w:p>
    <w:p>
      <w:pPr>
        <w:spacing w:after="0" w:line="117" w:lineRule="exact"/>
        <w:rPr>
          <w:sz w:val="20"/>
          <w:szCs w:val="20"/>
          <w:color w:val="auto"/>
        </w:rPr>
      </w:pPr>
    </w:p>
    <w:p>
      <w:pPr>
        <w:ind w:firstLine="42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Proceeding</w:t>
      </w:r>
      <w:r>
        <w:rPr>
          <w:rFonts w:ascii="Arial" w:cs="Arial" w:eastAsia="Arial" w:hAnsi="Arial"/>
          <w:sz w:val="18"/>
          <w:szCs w:val="18"/>
          <w:color w:val="auto"/>
        </w:rPr>
        <w:t>” means, with respect to any Person, (a) a case, action or proceeding with respect to such Person (i) before any court or any other Official Body under any bankruptcy, insolvency, reorganization or other similar Law now or hereafter in effect, or (ii) for the appointment of a receiver, liquidator, assignee, custodian, trustee, sequestrator, conservator (or similar official) of such Person or otherwise relating to the liquidation, dissolution, winding-up or relief of such Person, or (b) any general assignment for the benefit of creditors, composition, marshaling of assets for creditors, or other similar arrangement in respect of such Person’s creditors generally or any substantial portion of its creditors; undertaken under any law.</w:t>
      </w:r>
    </w:p>
    <w:p>
      <w:pPr>
        <w:spacing w:after="0" w:line="85" w:lineRule="exact"/>
        <w:rPr>
          <w:sz w:val="20"/>
          <w:szCs w:val="20"/>
          <w:color w:val="auto"/>
        </w:rPr>
      </w:pPr>
    </w:p>
    <w:p>
      <w:pPr>
        <w:ind w:right="60" w:firstLine="42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for each Eurodollar Rate Advance comprising part of the same Revolving Credit Borrowing, the period commencing on the date of such Eurodollar Rate Advance or the date of the Conversion of any Base Rate Advance into such Eurodollar Rate Advance and ending on the last day of the period selected by the Borrower pursuant to the provisions below and, thereafter, with respect to Eurodollar Rate Advances, each subsequent period commencing on the last day of the immediately preceding Interest Period and ending on the last day of the period selected by the Borrower pursuant to the provisions below. The duration of each such Interest Period shall be two weeks or one, two, three or six months, as specified by the Borrower in the Notice of Revolving Credit Borrowing received by the Agent no later than 1:00 p.m. (Pittsburgh, Pennsylvania time) on the third Business Day prior to the first day of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59" w:lineRule="exact"/>
        <w:rPr>
          <w:sz w:val="20"/>
          <w:szCs w:val="20"/>
          <w:color w:val="auto"/>
        </w:rPr>
      </w:pPr>
    </w:p>
    <w:p>
      <w:pPr>
        <w:ind w:left="4980" w:right="3320" w:hanging="4129"/>
        <w:spacing w:after="0" w:line="449" w:lineRule="auto"/>
        <w:tabs>
          <w:tab w:leader="none" w:pos="10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Borrower may not select any Interest Period that ends after the Termination Date; 12</w:t>
      </w:r>
    </w:p>
    <w:p>
      <w:pPr>
        <w:sectPr>
          <w:pgSz w:w="11900" w:h="16838" w:orient="portrait"/>
          <w:cols w:equalWidth="0" w:num="1">
            <w:col w:w="10540"/>
          </w:cols>
          <w:pgMar w:left="880" w:top="274" w:right="479" w:bottom="1440" w:gutter="0" w:footer="0" w:header="0"/>
        </w:sectPr>
      </w:pPr>
    </w:p>
    <w:bookmarkStart w:id="21" w:name="page22"/>
    <w:bookmarkEnd w:id="21"/>
    <w:p>
      <w:pPr>
        <w:ind w:left="440" w:right="600" w:firstLine="411"/>
        <w:spacing w:after="0" w:line="277" w:lineRule="auto"/>
        <w:tabs>
          <w:tab w:leader="none" w:pos="1100" w:val="left"/>
        </w:tabs>
        <w:numPr>
          <w:ilvl w:val="1"/>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Periods commencing on the same date for Eurodollar Rate Advances comprising part of the same Revolving Credit Borrowing shall be of the same duration;</w:t>
      </w:r>
    </w:p>
    <w:p>
      <w:pPr>
        <w:spacing w:after="0" w:line="62" w:lineRule="exact"/>
        <w:rPr>
          <w:rFonts w:ascii="Arial" w:cs="Arial" w:eastAsia="Arial" w:hAnsi="Arial"/>
          <w:sz w:val="18"/>
          <w:szCs w:val="18"/>
          <w:color w:val="auto"/>
        </w:rPr>
      </w:pPr>
    </w:p>
    <w:p>
      <w:pPr>
        <w:ind w:left="440" w:firstLine="411"/>
        <w:spacing w:after="0" w:line="259" w:lineRule="auto"/>
        <w:tabs>
          <w:tab w:leader="none" w:pos="10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whenever the last day of any Interest Period would otherwise occur on a day other than a Business Day, the last day of such Interest Period shall be extended to occur on the next succeeding Business Day, provided, however, that, if such extension would cause the last day of such Interest Period to occur in the next following calendar month, the last day of such Interest Period shall occur on the next preceding Business Day;</w:t>
      </w:r>
    </w:p>
    <w:p>
      <w:pPr>
        <w:spacing w:after="0" w:line="78" w:lineRule="exact"/>
        <w:rPr>
          <w:rFonts w:ascii="Arial" w:cs="Arial" w:eastAsia="Arial" w:hAnsi="Arial"/>
          <w:sz w:val="18"/>
          <w:szCs w:val="18"/>
          <w:color w:val="auto"/>
        </w:rPr>
      </w:pPr>
    </w:p>
    <w:p>
      <w:pPr>
        <w:ind w:left="440" w:right="80" w:firstLine="411"/>
        <w:spacing w:after="0" w:line="286" w:lineRule="auto"/>
        <w:tabs>
          <w:tab w:leader="none" w:pos="11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 and</w:t>
      </w:r>
    </w:p>
    <w:p>
      <w:pPr>
        <w:spacing w:after="0" w:line="57" w:lineRule="exact"/>
        <w:rPr>
          <w:rFonts w:ascii="Arial" w:cs="Arial" w:eastAsia="Arial" w:hAnsi="Arial"/>
          <w:sz w:val="17"/>
          <w:szCs w:val="17"/>
          <w:color w:val="auto"/>
        </w:rPr>
      </w:pPr>
    </w:p>
    <w:p>
      <w:pPr>
        <w:ind w:left="1100" w:hanging="249"/>
        <w:spacing w:after="0"/>
        <w:tabs>
          <w:tab w:leader="none" w:pos="11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Advances made on the Effective Date shall either (i) be Eurodollar Rate Advances with an Interest Period of two weeks or</w:t>
      </w:r>
    </w:p>
    <w:p>
      <w:pPr>
        <w:spacing w:after="0" w:line="34" w:lineRule="exact"/>
        <w:rPr>
          <w:rFonts w:ascii="Arial" w:cs="Arial" w:eastAsia="Arial" w:hAnsi="Arial"/>
          <w:sz w:val="17"/>
          <w:szCs w:val="17"/>
          <w:color w:val="auto"/>
        </w:rPr>
      </w:pPr>
    </w:p>
    <w:p>
      <w:pPr>
        <w:jc w:val="both"/>
        <w:ind w:left="440" w:right="80" w:firstLine="5"/>
        <w:spacing w:after="0" w:line="323" w:lineRule="auto"/>
        <w:tabs>
          <w:tab w:leader="none" w:pos="7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have the same Interest Period(s) as the loans outstanding under the Existing Credit Agreement on the Effective Date, as agreed to by the Borrower and the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owe any amounts under Section 8.04(c) in connection with this clause (e)(ii).</w:t>
      </w:r>
    </w:p>
    <w:p>
      <w:pPr>
        <w:spacing w:after="0" w:line="31" w:lineRule="exact"/>
        <w:rPr>
          <w:sz w:val="20"/>
          <w:szCs w:val="20"/>
          <w:color w:val="auto"/>
        </w:rPr>
      </w:pPr>
    </w:p>
    <w:p>
      <w:pPr>
        <w:ind w:right="30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 as amended from time to time, and the regulations promulgated and rulings issued thereunder.</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ISP98</w:t>
      </w:r>
      <w:r>
        <w:rPr>
          <w:rFonts w:ascii="Arial" w:cs="Arial" w:eastAsia="Arial" w:hAnsi="Arial"/>
          <w:sz w:val="18"/>
          <w:szCs w:val="18"/>
          <w:color w:val="auto"/>
        </w:rPr>
        <w:t>” has the meaning specified in Section 8.09.</w:t>
      </w:r>
    </w:p>
    <w:p>
      <w:pPr>
        <w:spacing w:after="0" w:line="117" w:lineRule="exact"/>
        <w:rPr>
          <w:sz w:val="20"/>
          <w:szCs w:val="20"/>
          <w:color w:val="auto"/>
        </w:rPr>
      </w:pPr>
    </w:p>
    <w:p>
      <w:pPr>
        <w:ind w:right="12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means PNC, in its individual capacity as issuer of Letters of Credit hereunder, and any other Lender that becomes the Issuing Lender in accordance with the last paragraph of Section 7.06. References herein to “the Issuing Lender” shall be deemed to be references to PNC (or any successor issuer of Letters of Credit).</w:t>
      </w:r>
    </w:p>
    <w:p>
      <w:pPr>
        <w:spacing w:after="0" w:line="73" w:lineRule="exact"/>
        <w:rPr>
          <w:sz w:val="20"/>
          <w:szCs w:val="20"/>
          <w:color w:val="auto"/>
        </w:rPr>
      </w:pPr>
    </w:p>
    <w:p>
      <w:pPr>
        <w:ind w:right="32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law (including common law), constitution, statute, treaty, regulation, rule, ordinance, opinion, release, ruling, order, executive order, injunction, writ, decree, judgment, authorization or approval of, or award by or settlement agreement with, any Official Body, foreign or domestic.</w:t>
      </w:r>
    </w:p>
    <w:p>
      <w:pPr>
        <w:spacing w:after="0" w:line="73" w:lineRule="exact"/>
        <w:rPr>
          <w:sz w:val="20"/>
          <w:szCs w:val="20"/>
          <w:color w:val="auto"/>
        </w:rPr>
      </w:pPr>
    </w:p>
    <w:p>
      <w:pPr>
        <w:ind w:right="1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Initial Lenders, and each Assuming Lender that shall become a party hereto pursuant to Section 2.19 and each Person that shall become a party hereto pursuant to Section 8.07.</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has the meaning specified in Section 2.04(a).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Borrowing</w:t>
      </w:r>
      <w:r>
        <w:rPr>
          <w:rFonts w:ascii="Arial" w:cs="Arial" w:eastAsia="Arial" w:hAnsi="Arial"/>
          <w:sz w:val="18"/>
          <w:szCs w:val="18"/>
          <w:color w:val="auto"/>
        </w:rPr>
        <w:t>” has the meaning specified in Section 2.04(c)(iii).</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0"/>
          </w:cols>
          <w:pgMar w:left="880" w:top="274" w:right="439" w:bottom="1440" w:gutter="0" w:footer="0" w:header="0"/>
        </w:sectPr>
      </w:pPr>
    </w:p>
    <w:bookmarkStart w:id="22" w:name="page23"/>
    <w:bookmarkEnd w:id="22"/>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Letter of Credit Collateral Account</w:t>
      </w:r>
      <w:r>
        <w:rPr>
          <w:rFonts w:ascii="Arial" w:cs="Arial" w:eastAsia="Arial" w:hAnsi="Arial"/>
          <w:sz w:val="18"/>
          <w:szCs w:val="18"/>
          <w:color w:val="auto"/>
        </w:rPr>
        <w:t>” has the meaning specified in Section 2.21(b)(ii).</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has the meaning specified in Section 2.04(b).</w:t>
      </w:r>
    </w:p>
    <w:p>
      <w:pPr>
        <w:spacing w:after="0" w:line="117" w:lineRule="exact"/>
        <w:rPr>
          <w:sz w:val="20"/>
          <w:szCs w:val="20"/>
          <w:color w:val="auto"/>
        </w:rPr>
      </w:pPr>
    </w:p>
    <w:p>
      <w:pPr>
        <w:ind w:right="300" w:firstLine="42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 Obligations</w:t>
      </w:r>
      <w:r>
        <w:rPr>
          <w:rFonts w:ascii="Arial" w:cs="Arial" w:eastAsia="Arial" w:hAnsi="Arial"/>
          <w:sz w:val="16"/>
          <w:szCs w:val="16"/>
          <w:color w:val="auto"/>
        </w:rPr>
        <w:t xml:space="preserve">” means, as of any date of determination, the aggregate amount available to be drawn under all outstanding Letters of Credit on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Reimbursement Obligations and Letter of Credit Borrowings on such date.</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has the meaning specified in Section 2.04(a).</w:t>
      </w:r>
    </w:p>
    <w:p>
      <w:pPr>
        <w:spacing w:after="0" w:line="117" w:lineRule="exact"/>
        <w:rPr>
          <w:sz w:val="20"/>
          <w:szCs w:val="20"/>
          <w:color w:val="auto"/>
        </w:rPr>
      </w:pPr>
    </w:p>
    <w:p>
      <w:pPr>
        <w:ind w:right="22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73" w:lineRule="exact"/>
        <w:rPr>
          <w:sz w:val="20"/>
          <w:szCs w:val="20"/>
          <w:color w:val="auto"/>
        </w:rPr>
      </w:pPr>
    </w:p>
    <w:p>
      <w:pPr>
        <w:ind w:right="480" w:firstLine="42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this Agreement, the Fee Letter, the Notes and any other instruments, certificates or documents delivered in connection herewith or therewith, in each case as amended, supplemented or modified from time to time.</w:t>
      </w:r>
    </w:p>
    <w:p>
      <w:pPr>
        <w:spacing w:after="0" w:line="38" w:lineRule="exact"/>
        <w:rPr>
          <w:sz w:val="20"/>
          <w:szCs w:val="20"/>
          <w:color w:val="auto"/>
        </w:rPr>
      </w:pPr>
    </w:p>
    <w:p>
      <w:pPr>
        <w:ind w:right="2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any material adverse change in the business, financial condition or operations of the Borrower and its Subsidiaries taken as a whole.</w:t>
      </w:r>
    </w:p>
    <w:p>
      <w:pPr>
        <w:spacing w:after="0" w:line="62" w:lineRule="exact"/>
        <w:rPr>
          <w:sz w:val="20"/>
          <w:szCs w:val="20"/>
          <w:color w:val="auto"/>
        </w:rPr>
      </w:pPr>
    </w:p>
    <w:p>
      <w:pPr>
        <w:ind w:right="20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financial condition or operations of the Borrower and its Subsidiaries taken as a whole, (b) the rights and remedies of the Agent or any Lender under this Agreement or any Note or (c) the ability of the Borrower to perform its obligations under this Agreement or any Note.</w:t>
      </w:r>
    </w:p>
    <w:p>
      <w:pPr>
        <w:spacing w:after="0" w:line="73" w:lineRule="exact"/>
        <w:rPr>
          <w:sz w:val="20"/>
          <w:szCs w:val="20"/>
          <w:color w:val="auto"/>
        </w:rPr>
      </w:pPr>
    </w:p>
    <w:p>
      <w:pPr>
        <w:ind w:firstLine="42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Subsidiary</w:t>
      </w:r>
      <w:r>
        <w:rPr>
          <w:rFonts w:ascii="Arial" w:cs="Arial" w:eastAsia="Arial" w:hAnsi="Arial"/>
          <w:sz w:val="17"/>
          <w:szCs w:val="17"/>
          <w:color w:val="auto"/>
        </w:rPr>
        <w:t>” means, with respect to the Borrower, at any time, any Subsidiary of the Borrower that is a “significant subsidiary” (as such term is defined in Regulation S-X, but treating all references therein to the “registrant” as references to the Borrower).</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117" w:lineRule="exact"/>
        <w:rPr>
          <w:sz w:val="20"/>
          <w:szCs w:val="20"/>
          <w:color w:val="auto"/>
        </w:rPr>
      </w:pPr>
    </w:p>
    <w:p>
      <w:pPr>
        <w:ind w:right="44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73" w:lineRule="exact"/>
        <w:rPr>
          <w:sz w:val="20"/>
          <w:szCs w:val="20"/>
          <w:color w:val="auto"/>
        </w:rPr>
      </w:pPr>
    </w:p>
    <w:p>
      <w:pPr>
        <w:jc w:val="both"/>
        <w:ind w:right="2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single employer plan, as defined in Section 4001(a)(15) of ERISA,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w:t>
      </w:r>
    </w:p>
    <w:p>
      <w:pPr>
        <w:spacing w:after="0" w:line="11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20"/>
          </w:cols>
          <w:pgMar w:left="880" w:top="274" w:right="499" w:bottom="1440" w:gutter="0" w:footer="0" w:header="0"/>
        </w:sectPr>
      </w:pPr>
    </w:p>
    <w:bookmarkStart w:id="23" w:name="page24"/>
    <w:bookmarkEnd w:id="23"/>
    <w:p>
      <w:pPr>
        <w:ind w:firstLine="42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means any Lender that has not consented to any proposed amendment, modification, waiver or termination of any Loan Document which, pursuant to Section 8.01, requires the consent of all Lenders or all affected Lenders and with respect to which the Required Lenders shall have granted their consent.</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any Lender that is not a Defaulting Lender at such time.</w:t>
      </w:r>
    </w:p>
    <w:p>
      <w:pPr>
        <w:spacing w:after="0" w:line="117" w:lineRule="exact"/>
        <w:rPr>
          <w:sz w:val="20"/>
          <w:szCs w:val="20"/>
          <w:color w:val="auto"/>
        </w:rPr>
      </w:pPr>
    </w:p>
    <w:p>
      <w:pPr>
        <w:ind w:firstLine="42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Debt</w:t>
      </w:r>
      <w:r>
        <w:rPr>
          <w:rFonts w:ascii="Arial" w:cs="Arial" w:eastAsia="Arial" w:hAnsi="Arial"/>
          <w:sz w:val="18"/>
          <w:szCs w:val="18"/>
          <w:color w:val="auto"/>
        </w:rPr>
        <w:t>” of any Person means Debt secured by a Lien on one or more assets or rights to receive revenue of such Person where the rights and remedies of the holder of such Debt in respect of such Debt are non-recourse to such Person and do not extend to any other assets or rights to receive revenue of such Person and, if such Person is organized under the laws of or doing business in the United States or any political subdivision thereof or therein, as to which such holder has effectively waived (or subordinated in favor of the Lenders) such holder’s right to make the election provided under 11 U.S.C. §1111(b)(1)(A).</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Revolving Credit Note or the Swing Line Note.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has the meaning specified in Section 8.02(c).</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Revolving Credit Borrowing</w:t>
      </w:r>
      <w:r>
        <w:rPr>
          <w:rFonts w:ascii="Arial" w:cs="Arial" w:eastAsia="Arial" w:hAnsi="Arial"/>
          <w:sz w:val="18"/>
          <w:szCs w:val="18"/>
          <w:color w:val="auto"/>
        </w:rPr>
        <w:t>” has the meaning specified in Section 2.02(a).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Swing Line Borrowing</w:t>
      </w:r>
      <w:r>
        <w:rPr>
          <w:rFonts w:ascii="Arial" w:cs="Arial" w:eastAsia="Arial" w:hAnsi="Arial"/>
          <w:sz w:val="18"/>
          <w:szCs w:val="18"/>
          <w:color w:val="auto"/>
        </w:rPr>
        <w:t>” has the meaning specified in Section 2.03(b).</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117" w:lineRule="exact"/>
        <w:rPr>
          <w:sz w:val="20"/>
          <w:szCs w:val="20"/>
          <w:color w:val="auto"/>
        </w:rPr>
      </w:pPr>
    </w:p>
    <w:p>
      <w:pPr>
        <w:ind w:right="120" w:firstLine="42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Official Body</w:t>
      </w:r>
      <w:r>
        <w:rPr>
          <w:rFonts w:ascii="Arial" w:cs="Arial" w:eastAsia="Arial" w:hAnsi="Arial"/>
          <w:sz w:val="17"/>
          <w:szCs w:val="17"/>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(including the Financial Accounting Standards Board, the Bank for International Settlements or the Basel Committee on Banking Supervision or any successor or similar authority to any of the foregoing).</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has the meaning specified in Section 2.04(h).</w:t>
      </w:r>
    </w:p>
    <w:p>
      <w:pPr>
        <w:spacing w:after="0" w:line="117" w:lineRule="exact"/>
        <w:rPr>
          <w:sz w:val="20"/>
          <w:szCs w:val="20"/>
          <w:color w:val="auto"/>
        </w:rPr>
      </w:pPr>
    </w:p>
    <w:p>
      <w:pPr>
        <w:ind w:right="100" w:firstLine="42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Advance or Loan Document).</w:t>
      </w:r>
    </w:p>
    <w:p>
      <w:pPr>
        <w:spacing w:after="0" w:line="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0"/>
          </w:cols>
          <w:pgMar w:left="880" w:top="274" w:right="439" w:bottom="1440" w:gutter="0" w:footer="0" w:header="0"/>
        </w:sectPr>
      </w:pPr>
    </w:p>
    <w:bookmarkStart w:id="24" w:name="page25"/>
    <w:bookmarkEnd w:id="24"/>
    <w:p>
      <w:pPr>
        <w:ind w:right="120" w:firstLine="4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2.22(b)).</w:t>
      </w:r>
    </w:p>
    <w:p>
      <w:pPr>
        <w:spacing w:after="0" w:line="79" w:lineRule="exact"/>
        <w:rPr>
          <w:sz w:val="20"/>
          <w:szCs w:val="20"/>
          <w:color w:val="auto"/>
        </w:rPr>
      </w:pPr>
    </w:p>
    <w:p>
      <w:pPr>
        <w:ind w:firstLine="42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Bank Funding Rate</w:t>
      </w:r>
      <w:r>
        <w:rPr>
          <w:rFonts w:ascii="Arial" w:cs="Arial" w:eastAsia="Arial" w:hAnsi="Arial"/>
          <w:sz w:val="16"/>
          <w:szCs w:val="16"/>
          <w:color w:val="auto"/>
        </w:rPr>
        <w:t>” means, for any day, the rate comprised of both overnight federal funds and overnight Eurocurrency borrowings by U.S.-managed banking offices of depository institutions, as such composite rate shall be determined by the Federal Reserve Bank of New York (“</w:t>
      </w:r>
      <w:r>
        <w:rPr>
          <w:rFonts w:ascii="Arial" w:cs="Arial" w:eastAsia="Arial" w:hAnsi="Arial"/>
          <w:sz w:val="16"/>
          <w:szCs w:val="16"/>
          <w:u w:val="single" w:color="auto"/>
          <w:color w:val="auto"/>
        </w:rPr>
        <w:t>NYFRB</w:t>
      </w:r>
      <w:r>
        <w:rPr>
          <w:rFonts w:ascii="Arial" w:cs="Arial" w:eastAsia="Arial" w:hAnsi="Arial"/>
          <w:sz w:val="16"/>
          <w:szCs w:val="16"/>
          <w:color w:val="auto"/>
        </w:rPr>
        <w:t xml:space="preserve">”), as set forth on its public website from time to time, and as published on the next succeeding Business Day as the overnight bank funding rate by the NYFRB (or by such other recognized electronic source (such as Bloomberg) selected by the Agent for the purpose of displaying such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day is not a Business Day, the Overnight Bank Funding Rate for such day shall be such rate on the immediately preceding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such rate shall at any time, for any reason, no longer exist, a comparable replacement rate determined by the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specified in Section 8.07(d).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Participation Advance</w:t>
      </w:r>
      <w:r>
        <w:rPr>
          <w:rFonts w:ascii="Arial" w:cs="Arial" w:eastAsia="Arial" w:hAnsi="Arial"/>
          <w:sz w:val="18"/>
          <w:szCs w:val="18"/>
          <w:color w:val="auto"/>
        </w:rPr>
        <w:t>” has the meaning specified in Section 2.04(c)(iii).</w:t>
      </w:r>
    </w:p>
    <w:p>
      <w:pPr>
        <w:spacing w:after="0" w:line="117" w:lineRule="exact"/>
        <w:rPr>
          <w:sz w:val="20"/>
          <w:szCs w:val="20"/>
          <w:color w:val="auto"/>
        </w:rPr>
      </w:pPr>
    </w:p>
    <w:p>
      <w:pPr>
        <w:ind w:right="1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Uniting and Strengthening America by Providing Appropriate Tools Required to Intercept and Obstruct Terrorism Act of 2001, Pub. L. 107-56, signed into law October 26, 2001.</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w:t>
      </w:r>
    </w:p>
    <w:p>
      <w:pPr>
        <w:spacing w:after="0" w:line="117" w:lineRule="exact"/>
        <w:rPr>
          <w:sz w:val="20"/>
          <w:szCs w:val="20"/>
          <w:color w:val="auto"/>
        </w:rPr>
      </w:pPr>
    </w:p>
    <w:p>
      <w:pPr>
        <w:ind w:right="80" w:firstLine="42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such of the following as to which no enforcement, collection, execution, levy or foreclosure proceeding shall have been commenced: (a) Liens for taxes, assessments and governmental charges or levies to the extent not required to be paid under Section 5.01(b) hereof; (b) Liens imposed by law, such as materialmen’s, mechanics’, carriers’, workmen’s and repairmen’s Liens and other similar Liens arising in the ordinary course of business securing obligations that are not overdue for a period of more than 60 days; (c) pledges or deposits to secure obligations under workers’ compensation laws or similar legislation or to secure public or statutory obligations or contracts (other than for the repayment of borrowed money); and (d) easements, rights of way and other encumbrances on title to real property that do not render title to the property encumbered thereby unmarketable or materially adversely affect the use of such property for its present purposes.</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880" w:top="274" w:right="439" w:bottom="1440" w:gutter="0" w:footer="0" w:header="0"/>
        </w:sectPr>
      </w:pPr>
    </w:p>
    <w:bookmarkStart w:id="25" w:name="page26"/>
    <w:bookmarkEnd w:id="25"/>
    <w:p>
      <w:pPr>
        <w:ind w:right="16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 Single Employer Plan or a Multiple Employer Plan.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has the meaning specified in Section 8.02(b).</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PNC</w:t>
      </w:r>
      <w:r>
        <w:rPr>
          <w:rFonts w:ascii="Arial" w:cs="Arial" w:eastAsia="Arial" w:hAnsi="Arial"/>
          <w:sz w:val="18"/>
          <w:szCs w:val="18"/>
          <w:color w:val="auto"/>
        </w:rPr>
        <w:t>” means PNC Bank, National Association, its successors and assigns.</w:t>
      </w:r>
    </w:p>
    <w:p>
      <w:pPr>
        <w:spacing w:after="0" w:line="117" w:lineRule="exact"/>
        <w:rPr>
          <w:sz w:val="20"/>
          <w:szCs w:val="20"/>
          <w:color w:val="auto"/>
        </w:rPr>
      </w:pPr>
    </w:p>
    <w:p>
      <w:pPr>
        <w:ind w:right="2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per annum publicly announced from time to time by PNC as its prime rate in effect at its principal office in Pittsburgh, Pennsylvania, which rate may not be the lowest rate then being charged to commercial borrowers by PNC; each change in the Prime Rate shall be effective on the date such change is publicly announced as effective.</w:t>
      </w:r>
    </w:p>
    <w:p>
      <w:pPr>
        <w:spacing w:after="0" w:line="73" w:lineRule="exact"/>
        <w:rPr>
          <w:sz w:val="20"/>
          <w:szCs w:val="20"/>
          <w:color w:val="auto"/>
        </w:rPr>
      </w:pPr>
    </w:p>
    <w:p>
      <w:pPr>
        <w:ind w:firstLine="42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Debt Rating</w:t>
      </w:r>
      <w:r>
        <w:rPr>
          <w:rFonts w:ascii="Arial" w:cs="Arial" w:eastAsia="Arial" w:hAnsi="Arial"/>
          <w:sz w:val="16"/>
          <w:szCs w:val="16"/>
          <w:color w:val="auto"/>
        </w:rPr>
        <w:t>” means, as of any date, the current rating announced by any of S&amp;P, Moody’s or Fitch, as the case may be, for any class of non-credit enhanced long term senior unsecured debt issued by the Borrower or, if any such rating agency shall have issued more than one such rating, the lowest such rating issued by such rating agency. For purposes of the foregoing: (a) if only one of S&amp;P, Moody’s and Fitch shall have in effect a Public Debt Rating, the Applicable Margin and the Applicable Commitment Fee Percentage shall be determined by reference to the available rating; (b) if only two of S&amp;P, Moody’s and Fitch shall have in effect a Public Debt Rating, the Applicable Margin and the Applicable Commitment Fee Percentage shall be determined by reference to the highest available rating, unless such ratings differ by two or more levels in which case the applicable level will be deemed to be one level below the higher of such levels; (c) if S&amp;P, Moody’s and Fitch each have in effect a Public Debt Rating, the Applicable Margin and the Applicable Commitment Fee Percentage shall be (i) based upon the rating level of two such agencies, if two such agencies have ratings in the same level or (ii) deemed to be one level below the highest of such levels if the rating levels of the three agencies fall within three different levels; (d) if none of S&amp;P, Moody’s or Fitch shall have in effect a Public Debt Rating, the Applicable Margin and the Applicable Commitment Fee Percentage will be set in accordance with Level 6 under the definition of “</w:t>
      </w:r>
      <w:r>
        <w:rPr>
          <w:rFonts w:ascii="Arial" w:cs="Arial" w:eastAsia="Arial" w:hAnsi="Arial"/>
          <w:sz w:val="16"/>
          <w:szCs w:val="16"/>
          <w:u w:val="single" w:color="auto"/>
          <w:color w:val="auto"/>
        </w:rPr>
        <w:t>Applicable Margin</w:t>
      </w:r>
      <w:r>
        <w:rPr>
          <w:rFonts w:ascii="Arial" w:cs="Arial" w:eastAsia="Arial" w:hAnsi="Arial"/>
          <w:sz w:val="16"/>
          <w:szCs w:val="16"/>
          <w:color w:val="auto"/>
        </w:rPr>
        <w:t>” or “</w:t>
      </w:r>
      <w:r>
        <w:rPr>
          <w:rFonts w:ascii="Arial" w:cs="Arial" w:eastAsia="Arial" w:hAnsi="Arial"/>
          <w:sz w:val="16"/>
          <w:szCs w:val="16"/>
          <w:u w:val="single" w:color="auto"/>
          <w:color w:val="auto"/>
        </w:rPr>
        <w:t>Applicable Commitment Fee Percentage</w:t>
      </w:r>
      <w:r>
        <w:rPr>
          <w:rFonts w:ascii="Arial" w:cs="Arial" w:eastAsia="Arial" w:hAnsi="Arial"/>
          <w:sz w:val="16"/>
          <w:szCs w:val="16"/>
          <w:color w:val="auto"/>
        </w:rPr>
        <w:t>”, as the case may be; (e) if any rating established by S&amp;P, Moody’s or Fitch shall be changed, such change shall be effective as of the date on which such change is first announced publicly by the rating agency making such change; and (f) if S&amp;P, Moody’s or Fitch shall change the basis on which ratings are established, each reference to the Public Debt Rating announced by S&amp;P, Moody’s or Fitch, as the case may be, shall refer to the then equivalent rating by S&amp;P, Moody’s or Fitch, as the case may be.</w:t>
      </w:r>
    </w:p>
    <w:p>
      <w:pPr>
        <w:spacing w:after="0" w:line="61" w:lineRule="exact"/>
        <w:rPr>
          <w:sz w:val="20"/>
          <w:szCs w:val="20"/>
          <w:color w:val="auto"/>
        </w:rPr>
      </w:pPr>
    </w:p>
    <w:p>
      <w:pPr>
        <w:jc w:val="both"/>
        <w:ind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Published Rate</w:t>
      </w:r>
      <w:r>
        <w:rPr>
          <w:rFonts w:ascii="Arial" w:cs="Arial" w:eastAsia="Arial" w:hAnsi="Arial"/>
          <w:sz w:val="18"/>
          <w:szCs w:val="18"/>
          <w:color w:val="auto"/>
        </w:rPr>
        <w:t xml:space="preserve">” means the rate of interest published each Business Day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Money Rates</w:t>
      </w:r>
      <w:r>
        <w:rPr>
          <w:rFonts w:ascii="Arial" w:cs="Arial" w:eastAsia="Arial" w:hAnsi="Arial"/>
          <w:sz w:val="18"/>
          <w:szCs w:val="18"/>
          <w:color w:val="auto"/>
        </w:rPr>
        <w:t>” listing under the caption “London Interbank Offered Rates” for a one month period (or, if no such rate is published therein for any reason, then the Published Rate shall be the rate at which U.S. dollar deposits are offered by leading</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0"/>
          </w:cols>
          <w:pgMar w:left="880" w:top="274" w:right="459" w:bottom="1440" w:gutter="0" w:footer="0" w:header="0"/>
        </w:sectPr>
      </w:pPr>
    </w:p>
    <w:bookmarkStart w:id="26" w:name="page27"/>
    <w:bookmarkEnd w:id="26"/>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banks in the London interbank deposit market for a one month period as published in another publication selected by the Agent); </w:t>
      </w:r>
      <w:r>
        <w:rPr>
          <w:rFonts w:ascii="Arial" w:cs="Arial" w:eastAsia="Arial" w:hAnsi="Arial"/>
          <w:sz w:val="16"/>
          <w:szCs w:val="16"/>
          <w:u w:val="single" w:color="auto"/>
          <w:color w:val="auto"/>
        </w:rPr>
        <w:t>provided that</w:t>
      </w:r>
      <w:r>
        <w:rPr>
          <w:rFonts w:ascii="Arial" w:cs="Arial" w:eastAsia="Arial" w:hAnsi="Arial"/>
          <w:sz w:val="16"/>
          <w:szCs w:val="16"/>
          <w:color w:val="auto"/>
        </w:rPr>
        <w:t>, with respect to any day that is not a Business Day, the “Published Rate” shall be the Published Rate on the immediately preceding Business Day.</w:t>
      </w:r>
    </w:p>
    <w:p>
      <w:pPr>
        <w:spacing w:after="0" w:line="16" w:lineRule="exact"/>
        <w:rPr>
          <w:sz w:val="20"/>
          <w:szCs w:val="20"/>
          <w:color w:val="auto"/>
        </w:rPr>
      </w:pPr>
    </w:p>
    <w:p>
      <w:pPr>
        <w:ind w:right="20" w:firstLine="42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Ratable Share</w:t>
      </w:r>
      <w:r>
        <w:rPr>
          <w:rFonts w:ascii="Arial" w:cs="Arial" w:eastAsia="Arial" w:hAnsi="Arial"/>
          <w:sz w:val="16"/>
          <w:szCs w:val="16"/>
          <w:color w:val="auto"/>
        </w:rPr>
        <w:t xml:space="preserve">” means, at any time, with respect to any Lender, the proportion that such Lender’s Commitment bears to the Commitments of all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Section 2.21, when a Defaulting Lender shall exist, Ratable Share shall mean the proportion that such Lender’s Commitment bears to the Commitment of all of the Lenders other than Defaulting Lenders. If the Commitments have terminated or expired, the Ratable Shares shall be determined based upon the Commitments most recently in effect, giving effect to any assignments.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Agent, (b) any Lender and (c) any Issuing Lender, as applicable.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specified in Section 8.07(c).</w:t>
      </w:r>
    </w:p>
    <w:p>
      <w:pPr>
        <w:spacing w:after="0" w:line="117" w:lineRule="exact"/>
        <w:rPr>
          <w:sz w:val="20"/>
          <w:szCs w:val="20"/>
          <w:color w:val="auto"/>
        </w:rPr>
      </w:pPr>
    </w:p>
    <w:p>
      <w:pPr>
        <w:ind w:right="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S-X</w:t>
      </w:r>
      <w:r>
        <w:rPr>
          <w:rFonts w:ascii="Arial" w:cs="Arial" w:eastAsia="Arial" w:hAnsi="Arial"/>
          <w:sz w:val="18"/>
          <w:szCs w:val="18"/>
          <w:color w:val="auto"/>
        </w:rPr>
        <w:t>” means Regulation S-X of the U.S. Securities and Exchange Commission pursuant to the Securities Exchange Act of 1934 (as amended from time to time).</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shall have the meaning specified in Section 2.04(c)(i).</w:t>
      </w:r>
    </w:p>
    <w:p>
      <w:pPr>
        <w:spacing w:after="0" w:line="117" w:lineRule="exact"/>
        <w:rPr>
          <w:sz w:val="20"/>
          <w:szCs w:val="20"/>
          <w:color w:val="auto"/>
        </w:rPr>
      </w:pPr>
    </w:p>
    <w:p>
      <w:pPr>
        <w:ind w:firstLine="42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Lenders, excluding any Defaulting Lenders, having a majority of the sum of the aggregate amount of the Commitments of the Lenders (excluding any Defaulting Lender) or, after the termination of the Commitments, a majority of the sum of (a) the aggregate outstanding principal amount of the Revolving Credit Advances of the Lenders (excluding any Defaulting Lender) and (b) the Ratable Shares of the Lenders (excluding any Defaulting Lender) of the Letter of Credit Obligations and the principal amount of the Swing Line Advances then outstanding.</w:t>
      </w:r>
    </w:p>
    <w:p>
      <w:pPr>
        <w:spacing w:after="0" w:line="80" w:lineRule="exact"/>
        <w:rPr>
          <w:sz w:val="20"/>
          <w:szCs w:val="20"/>
          <w:color w:val="auto"/>
        </w:rPr>
      </w:pPr>
    </w:p>
    <w:p>
      <w:pPr>
        <w:ind w:right="3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with respect to the Borrower, the Chief Executive Officer, President, Chief Financial Officer, Treasurer or Assistant Treasurer of the Borrower.</w:t>
      </w:r>
    </w:p>
    <w:p>
      <w:pPr>
        <w:spacing w:after="0" w:line="62" w:lineRule="exact"/>
        <w:rPr>
          <w:sz w:val="20"/>
          <w:szCs w:val="20"/>
          <w:color w:val="auto"/>
        </w:rPr>
      </w:pPr>
    </w:p>
    <w:p>
      <w:pPr>
        <w:ind w:right="1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Advance</w:t>
      </w:r>
      <w:r>
        <w:rPr>
          <w:rFonts w:ascii="Arial" w:cs="Arial" w:eastAsia="Arial" w:hAnsi="Arial"/>
          <w:sz w:val="18"/>
          <w:szCs w:val="18"/>
          <w:color w:val="auto"/>
        </w:rPr>
        <w:t>” means an advance by a Lender to the Borrower as part of a Revolving Credit Borrowing and refers to a Base Rate Advance or a Eurodollar Rate Advance (each of which shall be a “Type” of Revolving Credit Advance).</w:t>
      </w:r>
    </w:p>
    <w:p>
      <w:pPr>
        <w:spacing w:after="0" w:line="62" w:lineRule="exact"/>
        <w:rPr>
          <w:sz w:val="20"/>
          <w:szCs w:val="20"/>
          <w:color w:val="auto"/>
        </w:rPr>
      </w:pPr>
    </w:p>
    <w:p>
      <w:pPr>
        <w:ind w:right="2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Borrowing</w:t>
      </w:r>
      <w:r>
        <w:rPr>
          <w:rFonts w:ascii="Arial" w:cs="Arial" w:eastAsia="Arial" w:hAnsi="Arial"/>
          <w:sz w:val="18"/>
          <w:szCs w:val="18"/>
          <w:color w:val="auto"/>
        </w:rPr>
        <w:t>” means a borrowing consisting of simultaneous Revolving Credit Advances of the same Type made by the Lenders pursuant to Section 2.01.</w:t>
      </w:r>
    </w:p>
    <w:p>
      <w:pPr>
        <w:spacing w:after="0" w:line="62" w:lineRule="exact"/>
        <w:rPr>
          <w:sz w:val="20"/>
          <w:szCs w:val="20"/>
          <w:color w:val="auto"/>
        </w:rPr>
      </w:pPr>
    </w:p>
    <w:p>
      <w:pPr>
        <w:ind w:right="4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Note</w:t>
      </w:r>
      <w:r>
        <w:rPr>
          <w:rFonts w:ascii="Arial" w:cs="Arial" w:eastAsia="Arial" w:hAnsi="Arial"/>
          <w:sz w:val="18"/>
          <w:szCs w:val="18"/>
          <w:color w:val="auto"/>
        </w:rPr>
        <w:t>” means a promissory note of the Borrower payable to any Lender, delivered pursuant to a request made under Section 2.17 in substantially the form of Exhibit A-1 hereto, evidencing the aggregate indebtedness of the Borrower to such Lender resulting from the Revolving Credit Advances made by such Lender.</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60"/>
          </w:cols>
          <w:pgMar w:left="880" w:top="274" w:right="459" w:bottom="1440" w:gutter="0" w:footer="0" w:header="0"/>
        </w:sectPr>
      </w:pPr>
    </w:p>
    <w:bookmarkStart w:id="27" w:name="page28"/>
    <w:bookmarkEnd w:id="27"/>
    <w:p>
      <w:pPr>
        <w:ind w:right="64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Revolving Facility Usage</w:t>
      </w:r>
      <w:r>
        <w:rPr>
          <w:rFonts w:ascii="Arial" w:cs="Arial" w:eastAsia="Arial" w:hAnsi="Arial"/>
          <w:sz w:val="18"/>
          <w:szCs w:val="18"/>
          <w:color w:val="auto"/>
        </w:rPr>
        <w:t>” means, at any time, the sum of the outstanding principal amount of the Revolving Credit Advances, the outstanding principal amount of the Swing Line Advances and the Letter of Credit Obligations at such time.</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a division of The McGraw-Hill Companies, Inc.</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Country</w:t>
      </w:r>
      <w:r>
        <w:rPr>
          <w:rFonts w:ascii="Arial" w:cs="Arial" w:eastAsia="Arial" w:hAnsi="Arial"/>
          <w:sz w:val="17"/>
          <w:szCs w:val="17"/>
          <w:color w:val="auto"/>
        </w:rPr>
        <w:t>” means at any time, a country or territory that is, or whose government is, the subject or target of any Sanctions.</w:t>
      </w:r>
    </w:p>
    <w:p>
      <w:pPr>
        <w:spacing w:after="0" w:line="129" w:lineRule="exact"/>
        <w:rPr>
          <w:sz w:val="20"/>
          <w:szCs w:val="20"/>
          <w:color w:val="auto"/>
        </w:rPr>
      </w:pPr>
    </w:p>
    <w:p>
      <w:pPr>
        <w:ind w:firstLine="42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at any time, (a) any Person listed in any Sanctions-related list of designated Persons maintained by the Office of Foreign Assets Control of the U.S. Department of the Treasury or the U.S. Department of State or by the United Nations Security Council, the European Union, the United Kingdom or any European Union member state, (b) any Person operating, organized or resident in a Sanctioned Country or (c) any Person controlled by any such Person described in the foregoing clauses (a) and (b).</w:t>
      </w:r>
    </w:p>
    <w:p>
      <w:pPr>
        <w:spacing w:after="0" w:line="63" w:lineRule="exact"/>
        <w:rPr>
          <w:sz w:val="20"/>
          <w:szCs w:val="20"/>
          <w:color w:val="auto"/>
        </w:rPr>
      </w:pPr>
    </w:p>
    <w:p>
      <w:pPr>
        <w:ind w:right="20" w:firstLine="42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 or other relevant sanctions authority with jurisdiction over any Lender, the Borrower or any of its or their Subsidiaries.</w:t>
      </w:r>
    </w:p>
    <w:p>
      <w:pPr>
        <w:spacing w:after="0" w:line="63" w:lineRule="exact"/>
        <w:rPr>
          <w:sz w:val="20"/>
          <w:szCs w:val="20"/>
          <w:color w:val="auto"/>
        </w:rPr>
      </w:pPr>
    </w:p>
    <w:p>
      <w:pPr>
        <w:ind w:right="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means periodic reports filed from time to time with the U.S. Securities and Exchange Commission pursuant to the Securities Exchange Act of 1934 (as amended from time to time).</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Certificate</w:t>
      </w:r>
      <w:r>
        <w:rPr>
          <w:rFonts w:ascii="Arial" w:cs="Arial" w:eastAsia="Arial" w:hAnsi="Arial"/>
          <w:sz w:val="18"/>
          <w:szCs w:val="18"/>
          <w:color w:val="auto"/>
        </w:rPr>
        <w:t>” has the meaning specified in Section 2.20.</w:t>
      </w:r>
    </w:p>
    <w:p>
      <w:pPr>
        <w:spacing w:after="0" w:line="117" w:lineRule="exact"/>
        <w:rPr>
          <w:sz w:val="20"/>
          <w:szCs w:val="20"/>
          <w:color w:val="auto"/>
        </w:rPr>
      </w:pPr>
    </w:p>
    <w:p>
      <w:pPr>
        <w:ind w:right="6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w:t>
      </w:r>
      <w:r>
        <w:rPr>
          <w:rFonts w:ascii="Arial" w:cs="Arial" w:eastAsia="Arial" w:hAnsi="Arial"/>
          <w:sz w:val="18"/>
          <w:szCs w:val="18"/>
          <w:color w:val="auto"/>
        </w:rPr>
        <w:t>” means any special purpose Subsidiary established in connection with any Accounts Receivable Securitization.</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40"/>
          </w:cols>
          <w:pgMar w:left="880" w:top="274" w:right="479" w:bottom="1440" w:gutter="0" w:footer="0" w:header="0"/>
        </w:sectPr>
      </w:pPr>
    </w:p>
    <w:bookmarkStart w:id="28" w:name="page29"/>
    <w:bookmarkEnd w:id="28"/>
    <w:p>
      <w:pPr>
        <w:ind w:firstLine="42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Subsidiary</w:t>
      </w:r>
      <w:r>
        <w:rPr>
          <w:rFonts w:ascii="Arial" w:cs="Arial" w:eastAsia="Arial" w:hAnsi="Arial"/>
          <w:sz w:val="17"/>
          <w:szCs w:val="17"/>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Advance(s)</w:t>
      </w:r>
      <w:r>
        <w:rPr>
          <w:rFonts w:ascii="Arial" w:cs="Arial" w:eastAsia="Arial" w:hAnsi="Arial"/>
          <w:sz w:val="18"/>
          <w:szCs w:val="18"/>
          <w:color w:val="auto"/>
        </w:rPr>
        <w:t>” has the meaning specified in subsection 2.03(a).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Collateral Account</w:t>
      </w:r>
      <w:r>
        <w:rPr>
          <w:rFonts w:ascii="Arial" w:cs="Arial" w:eastAsia="Arial" w:hAnsi="Arial"/>
          <w:sz w:val="18"/>
          <w:szCs w:val="18"/>
          <w:color w:val="auto"/>
        </w:rPr>
        <w:t>” has the meaning specified in Section 2.21(b)(i).</w:t>
      </w:r>
    </w:p>
    <w:p>
      <w:pPr>
        <w:spacing w:after="0" w:line="117" w:lineRule="exact"/>
        <w:rPr>
          <w:sz w:val="20"/>
          <w:szCs w:val="20"/>
          <w:color w:val="auto"/>
        </w:rPr>
      </w:pPr>
    </w:p>
    <w:p>
      <w:pPr>
        <w:ind w:right="8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Commitment</w:t>
      </w:r>
      <w:r>
        <w:rPr>
          <w:rFonts w:ascii="Arial" w:cs="Arial" w:eastAsia="Arial" w:hAnsi="Arial"/>
          <w:sz w:val="18"/>
          <w:szCs w:val="18"/>
          <w:color w:val="auto"/>
        </w:rPr>
        <w:t>” means the commitment of the Swing Line Lender to make Swing Line Advances pursuant to the provisions of Section 2.03 of this Agreement in an aggregate amount at any one time outstanding not to exceed $35,000,000, as the same may be changed from time to time in accordance with the provisions of this Agreement.</w:t>
      </w:r>
    </w:p>
    <w:p>
      <w:pPr>
        <w:spacing w:after="0" w:line="73" w:lineRule="exact"/>
        <w:rPr>
          <w:sz w:val="20"/>
          <w:szCs w:val="20"/>
          <w:color w:val="auto"/>
        </w:rPr>
      </w:pPr>
    </w:p>
    <w:p>
      <w:pPr>
        <w:ind w:right="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PNC, and any successor thereto, or any other Lender to which the Swing Line Commitment is assigned, in each case in its capacity as the lender of Swing Line Advances.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Note</w:t>
      </w:r>
      <w:r>
        <w:rPr>
          <w:rFonts w:ascii="Arial" w:cs="Arial" w:eastAsia="Arial" w:hAnsi="Arial"/>
          <w:sz w:val="18"/>
          <w:szCs w:val="18"/>
          <w:color w:val="auto"/>
        </w:rPr>
        <w:t>” has the meaning specified in subsection 2.03(b).</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Prepayment Date</w:t>
      </w:r>
      <w:r>
        <w:rPr>
          <w:rFonts w:ascii="Arial" w:cs="Arial" w:eastAsia="Arial" w:hAnsi="Arial"/>
          <w:sz w:val="18"/>
          <w:szCs w:val="18"/>
          <w:color w:val="auto"/>
        </w:rPr>
        <w:t>” has the meaning specified in subsection 2.03(c).</w:t>
      </w:r>
    </w:p>
    <w:p>
      <w:pPr>
        <w:spacing w:after="0" w:line="117" w:lineRule="exact"/>
        <w:rPr>
          <w:sz w:val="20"/>
          <w:szCs w:val="20"/>
          <w:color w:val="auto"/>
        </w:rPr>
      </w:pPr>
    </w:p>
    <w:p>
      <w:pPr>
        <w:ind w:right="220" w:firstLine="42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withholdings), assessments, fees or other charges imposed by any Official Body, including any interest, additions to tax or penalties applicable thereto.</w:t>
      </w:r>
    </w:p>
    <w:p>
      <w:pPr>
        <w:spacing w:after="0" w:line="38" w:lineRule="exact"/>
        <w:rPr>
          <w:sz w:val="20"/>
          <w:szCs w:val="20"/>
          <w:color w:val="auto"/>
        </w:rPr>
      </w:pPr>
    </w:p>
    <w:p>
      <w:pPr>
        <w:ind w:right="4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earlier of (a) June 25, 2020, subject to the extension thereof pursuant to Section 2.20, and (b) the date of termination in whole of the Commitments pursuant to Section 2.06 or 6.01.</w:t>
      </w:r>
    </w:p>
    <w:p>
      <w:pPr>
        <w:spacing w:after="0" w:line="62" w:lineRule="exact"/>
        <w:rPr>
          <w:sz w:val="20"/>
          <w:szCs w:val="20"/>
          <w:color w:val="auto"/>
        </w:rPr>
      </w:pPr>
    </w:p>
    <w:p>
      <w:pPr>
        <w:ind w:right="100" w:firstLine="42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Exposure</w:t>
      </w:r>
      <w:r>
        <w:rPr>
          <w:rFonts w:ascii="Arial" w:cs="Arial" w:eastAsia="Arial" w:hAnsi="Arial"/>
          <w:sz w:val="16"/>
          <w:szCs w:val="16"/>
          <w:color w:val="auto"/>
        </w:rPr>
        <w:t>” means, as to any Lender at any time, the sum of (a) the aggregate principal amount of all Revolving Credit Advances made by such Lender then outstanding, (b) such Lender’s Ratable Share multiplied by the aggregate Letter of Credit Obligations at such time and</w:t>
      </w:r>
    </w:p>
    <w:p>
      <w:pPr>
        <w:ind w:left="420" w:right="1860" w:hanging="416"/>
        <w:spacing w:after="0" w:line="367" w:lineRule="auto"/>
        <w:tabs>
          <w:tab w:leader="none" w:pos="2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Lender’s Ratable Share multiplied by the aggregate principal amount of Swing Line Advances then outstanding. “</w:t>
      </w:r>
      <w:r>
        <w:rPr>
          <w:rFonts w:ascii="Arial" w:cs="Arial" w:eastAsia="Arial" w:hAnsi="Arial"/>
          <w:sz w:val="18"/>
          <w:szCs w:val="18"/>
          <w:u w:val="single" w:color="auto"/>
          <w:color w:val="auto"/>
        </w:rPr>
        <w:t>Trust Indenture Act</w:t>
      </w:r>
      <w:r>
        <w:rPr>
          <w:rFonts w:ascii="Arial" w:cs="Arial" w:eastAsia="Arial" w:hAnsi="Arial"/>
          <w:sz w:val="18"/>
          <w:szCs w:val="18"/>
          <w:color w:val="auto"/>
        </w:rPr>
        <w:t>” has the meaning specified in Section 7.02.</w:t>
      </w:r>
    </w:p>
    <w:p>
      <w:pPr>
        <w:ind w:left="420" w:right="1400"/>
        <w:spacing w:after="0" w:line="39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any Advance, whether such Advance is a Base Rate Advance or Eurodollar Rate Advance. “</w:t>
      </w:r>
      <w:r>
        <w:rPr>
          <w:rFonts w:ascii="Arial" w:cs="Arial" w:eastAsia="Arial" w:hAnsi="Arial"/>
          <w:sz w:val="18"/>
          <w:szCs w:val="18"/>
          <w:u w:val="single" w:color="auto"/>
          <w:color w:val="auto"/>
        </w:rPr>
        <w:t>UCP</w:t>
      </w:r>
      <w:r>
        <w:rPr>
          <w:rFonts w:ascii="Arial" w:cs="Arial" w:eastAsia="Arial" w:hAnsi="Arial"/>
          <w:sz w:val="18"/>
          <w:szCs w:val="18"/>
          <w:color w:val="auto"/>
        </w:rPr>
        <w:t>” has the meaning specified in Section 8.09.</w:t>
      </w:r>
    </w:p>
    <w:p>
      <w:pPr>
        <w:spacing w:after="0" w:line="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80"/>
          </w:cols>
          <w:pgMar w:left="880" w:top="274" w:right="439" w:bottom="1440" w:gutter="0" w:footer="0" w:header="0"/>
        </w:sectPr>
      </w:pPr>
    </w:p>
    <w:bookmarkStart w:id="29" w:name="page30"/>
    <w:bookmarkEnd w:id="29"/>
    <w:p>
      <w:pPr>
        <w:ind w:left="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U.S. Person</w:t>
      </w:r>
      <w:r>
        <w:rPr>
          <w:rFonts w:ascii="Arial" w:cs="Arial" w:eastAsia="Arial" w:hAnsi="Arial"/>
          <w:sz w:val="17"/>
          <w:szCs w:val="17"/>
          <w:color w:val="auto"/>
        </w:rPr>
        <w:t>” means any Person that is a “United States Person” as defined in Section 7701(a)(30) of the Internal Revenue Code.</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has the meaning assigned thereto in Section 2.15(g).</w:t>
      </w:r>
    </w:p>
    <w:p>
      <w:pPr>
        <w:spacing w:after="0" w:line="117" w:lineRule="exact"/>
        <w:rPr>
          <w:sz w:val="20"/>
          <w:szCs w:val="20"/>
          <w:color w:val="auto"/>
        </w:rPr>
      </w:pPr>
    </w:p>
    <w:p>
      <w:pPr>
        <w:jc w:val="both"/>
        <w:ind w:left="440" w:right="16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the Borrower and the Agent.</w:t>
      </w:r>
    </w:p>
    <w:p>
      <w:pPr>
        <w:spacing w:after="0" w:line="117" w:lineRule="exact"/>
        <w:rPr>
          <w:sz w:val="20"/>
          <w:szCs w:val="20"/>
          <w:color w:val="auto"/>
        </w:rPr>
      </w:pPr>
    </w:p>
    <w:p>
      <w:pPr>
        <w:ind w:left="440" w:right="16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 In this Agreement in the computation of periods of time from a specified date to a later specified date, the word “from” means “from and including” and the words “to” and “until” each mean “to but excluding”.</w:t>
      </w:r>
    </w:p>
    <w:p>
      <w:pPr>
        <w:spacing w:after="0" w:line="170"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Accounting Terms</w:t>
      </w:r>
      <w:r>
        <w:rPr>
          <w:rFonts w:ascii="Arial" w:cs="Arial" w:eastAsia="Arial" w:hAnsi="Arial"/>
          <w:sz w:val="16"/>
          <w:szCs w:val="16"/>
          <w:color w:val="auto"/>
        </w:rPr>
        <w:t xml:space="preserve">. All accounting terms not specifically defined herein shall be construed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by notice to the Agent, shall request an amendment to any provision hereof to eliminate the effect of any change occurring after the date hereof in GAAP or in the application thereof on the operation of such provision (or if the Agent or the Required Lenders, by notice to the Borrower, shall request an amendment to any provision hereof for such purpose), regardless of whether any such notice is given before or after such change in GAAP or in the application thereof, then (a) the Agent, the Lenders and the Borrower shall negotiate in good faith to amend such provision to preserve the original intent thereof in light of such change in GAAP (subject to the approval of the Borrower and the Required Lenders) and (b) such provision shall be interpreted on the basis of GAAP as in effect and applied immediately before such change shall have become effective until such notice shall have been withdrawn or such provision amended in accordance herewith, and the Borrower shall provide to the Agent and the Lenders, when it delivers its financial statements pursuant to any provision hereof, such reconciliation statements as shall be reasonably requested by the Agent. Notwithstanding the foregoing, all financial statements delivered hereunder shall be prepared, and all financial covenants contained herein shall be calculated, without giving effect to (i) any change to GAAP as a result of the adoption of any proposals set forth in Accounting Standards Update (ASU), Leases (Topic</w:t>
      </w:r>
    </w:p>
    <w:p>
      <w:pPr>
        <w:spacing w:after="0" w:line="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842), issued by the Financial Accounting Standards Board (the “</w:t>
      </w:r>
      <w:r>
        <w:rPr>
          <w:rFonts w:ascii="Arial" w:cs="Arial" w:eastAsia="Arial" w:hAnsi="Arial"/>
          <w:sz w:val="18"/>
          <w:szCs w:val="18"/>
          <w:u w:val="single" w:color="auto"/>
          <w:color w:val="auto"/>
        </w:rPr>
        <w:t>FASB</w:t>
      </w:r>
      <w:r>
        <w:rPr>
          <w:rFonts w:ascii="Arial" w:cs="Arial" w:eastAsia="Arial" w:hAnsi="Arial"/>
          <w:sz w:val="18"/>
          <w:szCs w:val="18"/>
          <w:color w:val="auto"/>
        </w:rPr>
        <w:t>”) on February 25, 2016, or any other proposals issued by the FASB in connection therewith, that would require treating any lease (or similar arrangement conveying the right to use) as a capital lease where such lease (or similar arrangement) was not required to be so treated under GAAP as in effect on the Effective Date) and (ii) any election under the FASB Accounting Statements Codification No. 825 (or any similar accounting principle)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30" w:name="page31"/>
    <w:bookmarkEnd w:id="30"/>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permitting a Person to value its financial liabilities or Debt at the fair value thereof and the Borrower shall deliver to the Agent and the Lenders when it delivers its financial statements pursuant to Section 5.01(h)(i) and (ii) such reconciliation statements as shall be reasonably requested by the Agent.</w:t>
      </w:r>
    </w:p>
    <w:p>
      <w:pPr>
        <w:spacing w:after="0" w:line="124"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LIBOR Notification</w:t>
      </w:r>
      <w:r>
        <w:rPr>
          <w:rFonts w:ascii="Arial" w:cs="Arial" w:eastAsia="Arial" w:hAnsi="Arial"/>
          <w:sz w:val="16"/>
          <w:szCs w:val="16"/>
          <w:color w:val="auto"/>
        </w:rPr>
        <w:t>. Section 2.09(g) of this Agreement provides a mechanism for determining an alternative rate of interest in the event that the London interbank offered rate is no longer available or in certain other circumstances. The Agent does not warrant or accept any responsibility for and shall not have any liability with respect to, the administration, submission or any other matter related to the London interbank offered rate or other rates in the definition of “Eurodollar Rate” or with respect to any alternative or successor rate thereto, or replacement rate therefor.</w:t>
      </w:r>
    </w:p>
    <w:p>
      <w:pPr>
        <w:spacing w:after="0" w:line="154"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AMOUNTS AND TERMS OF THE ADVANCES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The Revolving Credit Advances</w:t>
      </w:r>
      <w:r>
        <w:rPr>
          <w:rFonts w:ascii="Arial" w:cs="Arial" w:eastAsia="Arial" w:hAnsi="Arial"/>
          <w:sz w:val="16"/>
          <w:szCs w:val="16"/>
          <w:color w:val="auto"/>
        </w:rPr>
        <w:t>. Each Lender severally agrees, on the terms and conditions hereinafter set forth, to make Revolving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Credit Advances to the Borrower from time to time on any Business Day during the period from the Effective Date until the Termination Date in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aggregate amount not to exceed at any time outstanding such Lender’s Commitment minus the sum of such Lender’s Ratable Share of (i) all Letter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Credit Obligations then outstanding, and (ii) the principal amount of all Swing Line Advances then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Revolving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Advances shall be made if, after giving effect thereto and the simultaneous application of the proceeds thereof, the Total Exposure of all Lenders would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exceed the Commitments of all Lenders at such time. Each Revolving Credit Borrowing comprised of Eurodollar Rate Advances shall be in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aggregate amount of $5,000,000 and each Revolving Credit Borrowing comprised of Base Rate Advances shall be in an aggregate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$1,000,000 or, in each case, an integral multiple of $1,000,000 in excess thereof and shall consist of Revolving Credit Advances of the same Type made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same day by the Lenders ratably according to their respective Ratable Shares. Within the limits of each Lender’s Commitment, the Borrower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 under this Section 2.01, prepay pursuant to Section 2.11 and reborrow under this Section 2.01.</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31" w:name="page32"/>
    <w:bookmarkEnd w:id="31"/>
    <w:p>
      <w:pPr>
        <w:ind w:left="43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2.02 </w:t>
      </w:r>
      <w:r>
        <w:rPr>
          <w:rFonts w:ascii="Arial" w:cs="Arial" w:eastAsia="Arial" w:hAnsi="Arial"/>
          <w:sz w:val="18"/>
          <w:szCs w:val="18"/>
          <w:u w:val="single" w:color="auto"/>
          <w:color w:val="auto"/>
        </w:rPr>
        <w:t>Making the Revolving Credit Advances</w:t>
      </w:r>
      <w:r>
        <w:rPr>
          <w:rFonts w:ascii="Arial" w:cs="Arial" w:eastAsia="Arial" w:hAnsi="Arial"/>
          <w:sz w:val="18"/>
          <w:szCs w:val="18"/>
          <w:color w:val="auto"/>
        </w:rPr>
        <w:t>.</w:t>
      </w:r>
    </w:p>
    <w:p>
      <w:pPr>
        <w:spacing w:after="0" w:line="117" w:lineRule="exact"/>
        <w:rPr>
          <w:sz w:val="20"/>
          <w:szCs w:val="20"/>
          <w:color w:val="auto"/>
        </w:rPr>
      </w:pPr>
    </w:p>
    <w:p>
      <w:pPr>
        <w:ind w:left="-4" w:firstLine="885"/>
        <w:spacing w:after="0" w:line="286" w:lineRule="auto"/>
        <w:tabs>
          <w:tab w:leader="none" w:pos="1122" w:val="left"/>
        </w:tabs>
        <w:numPr>
          <w:ilvl w:val="1"/>
          <w:numId w:val="15"/>
        </w:numPr>
        <w:rPr>
          <w:rFonts w:ascii="Arial" w:cs="Arial" w:eastAsia="Arial" w:hAnsi="Arial"/>
          <w:sz w:val="16"/>
          <w:szCs w:val="16"/>
          <w:color w:val="auto"/>
        </w:rPr>
      </w:pPr>
      <w:r>
        <w:rPr>
          <w:rFonts w:ascii="Arial" w:cs="Arial" w:eastAsia="Arial" w:hAnsi="Arial"/>
          <w:sz w:val="16"/>
          <w:szCs w:val="16"/>
          <w:color w:val="auto"/>
        </w:rPr>
        <w:t>Each Revolving Credit Borrowing shall be made on notice, given not later than (x) 1:00 p.m. (Pittsburgh, Pennsylvania time) on the third Business Day prior to the date of the proposed Revolving Credit Borrowing in the case of a Revolving Credit Borrowing consisting of Eurodollar Rate Advances or (y) 12:00 Noon (Pittsburgh, Pennsylvania time) on the date of the proposed Revolving Credit Borrowing in the case of a Revolving Credit Borrowing consisting of Base Rate Advances, by the Borrower to the Agent, which shall give to each Lender prompt notice thereof by telecopier or other electronic means. Each such notice of a Revolving Credit Borrowing (a “</w:t>
      </w:r>
      <w:r>
        <w:rPr>
          <w:rFonts w:ascii="Arial" w:cs="Arial" w:eastAsia="Arial" w:hAnsi="Arial"/>
          <w:sz w:val="16"/>
          <w:szCs w:val="16"/>
          <w:u w:val="single" w:color="auto"/>
          <w:color w:val="auto"/>
        </w:rPr>
        <w:t>Notice of Revolving Credit Borrowing</w:t>
      </w:r>
      <w:r>
        <w:rPr>
          <w:rFonts w:ascii="Arial" w:cs="Arial" w:eastAsia="Arial" w:hAnsi="Arial"/>
          <w:sz w:val="16"/>
          <w:szCs w:val="16"/>
          <w:color w:val="auto"/>
        </w:rPr>
        <w:t>”) shall be by telephone, confirmed immediately in writing, or telecopier or other electronic means (it being understood that the Agent may rely on the authority of any individual making such telephone request without the necessity of receipt of such written confirmation), in substantially the form of Exhibit B-1 hereto, specifying therein the requested (i) date of such Revolving Credit Borrowing, (ii) Type of Advances comprising such Revolving Credit Borrowing, (iii) aggregate amount of such Revolving Credit Borrowing, and (iv) in the case of a Revolving Credit Borrowing consisting of Eurodollar Rate Advances, initial Interest Period for each such Revolving Credit Advance. Each Lender shall, before 2:00 p.m. (Pittsburgh, Pennsylvania time) on the date of such Revolving Credit Borrowing make available for the account of its Applicable Lending Office to the Agent at the Agent’s Account, in same day funds, such Lender’s Ratable Share of such Revolving Credit Borrowing. After the Agent’s receipt of such funds and upon fulfillment of the applicable conditions set forth in Article III, the Agent will make such funds available to the Borrower by transferring such funds to an account designated by the Borrower no later than 4:00 p.m. (Pittsburgh, Pennsylvania time) on the date of such Revolving Credit Borrowing.</w:t>
      </w:r>
    </w:p>
    <w:p>
      <w:pPr>
        <w:spacing w:after="0" w:line="63" w:lineRule="exact"/>
        <w:rPr>
          <w:rFonts w:ascii="Arial" w:cs="Arial" w:eastAsia="Arial" w:hAnsi="Arial"/>
          <w:sz w:val="16"/>
          <w:szCs w:val="16"/>
          <w:color w:val="auto"/>
        </w:rPr>
      </w:pPr>
    </w:p>
    <w:p>
      <w:pPr>
        <w:ind w:left="-4" w:right="80" w:firstLine="885"/>
        <w:spacing w:after="0" w:line="259" w:lineRule="auto"/>
        <w:tabs>
          <w:tab w:leader="none" w:pos="1133"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Anything in subsection (a) above to the contrary notwithstanding, (i) the Borrower may not select Eurodollar Rate Advances for any Revolving Credit Borrowing if the aggregate amount of such Revolving Credit Borrowing is less than $5,000,000 or if the obligation of the Lenders to make Eurodollar Rate Advances shall then be suspended pursuant to Section 2.09 or 2.13 and (ii) the Eurodollar Rate Advances may not be outstanding as part of more than ten separate Revolving Credit Borrowings.</w:t>
      </w:r>
    </w:p>
    <w:p>
      <w:pPr>
        <w:spacing w:after="0" w:line="78" w:lineRule="exact"/>
        <w:rPr>
          <w:rFonts w:ascii="Arial" w:cs="Arial" w:eastAsia="Arial" w:hAnsi="Arial"/>
          <w:sz w:val="18"/>
          <w:szCs w:val="18"/>
          <w:color w:val="auto"/>
        </w:rPr>
      </w:pPr>
    </w:p>
    <w:p>
      <w:pPr>
        <w:ind w:left="-4" w:right="260" w:firstLine="885"/>
        <w:spacing w:after="0" w:line="272" w:lineRule="auto"/>
        <w:tabs>
          <w:tab w:leader="none" w:pos="1122" w:val="left"/>
        </w:tabs>
        <w:numPr>
          <w:ilvl w:val="1"/>
          <w:numId w:val="15"/>
        </w:numPr>
        <w:rPr>
          <w:rFonts w:ascii="Arial" w:cs="Arial" w:eastAsia="Arial" w:hAnsi="Arial"/>
          <w:sz w:val="17"/>
          <w:szCs w:val="17"/>
          <w:color w:val="auto"/>
        </w:rPr>
      </w:pPr>
      <w:r>
        <w:rPr>
          <w:rFonts w:ascii="Arial" w:cs="Arial" w:eastAsia="Arial" w:hAnsi="Arial"/>
          <w:sz w:val="17"/>
          <w:szCs w:val="17"/>
          <w:color w:val="auto"/>
        </w:rPr>
        <w:t>Each Notice of Revolving Credit Borrowing shall be irrevocable and binding on the Borrower. In the case of any Revolving Credit Borrowing that the related Notice of Revolving Credit Borrowing specifies is to be comprised of Eurodollar Rate Advances, the Borrower shall indemnify each Lender against any loss, cost or expense incurred by such Lender as a result of any failure to fulfill on or before the date specified in such Notice of Revolving Credit Borrowing for such Revolving Credit Borrowing the applicable conditions set forth in Article III, including, without limitation, any loss (excluding loss of anticipated profits), cost or expense incurred by reason of the liquidation or reemployment of deposits or other funds acquired by such Lender to fund the Revolving Credit Advance to be made by such Lender as part of such Revolving Credit Borrowing when such Revolving Credit Advance, as a result of such failure, is not made on such date.</w:t>
      </w:r>
    </w:p>
    <w:p>
      <w:pPr>
        <w:spacing w:after="0" w:line="69" w:lineRule="exact"/>
        <w:rPr>
          <w:rFonts w:ascii="Arial" w:cs="Arial" w:eastAsia="Arial" w:hAnsi="Arial"/>
          <w:sz w:val="17"/>
          <w:szCs w:val="17"/>
          <w:color w:val="auto"/>
        </w:rPr>
      </w:pPr>
    </w:p>
    <w:p>
      <w:pPr>
        <w:jc w:val="both"/>
        <w:ind w:left="-4" w:right="200" w:firstLine="885"/>
        <w:spacing w:after="0" w:line="288" w:lineRule="auto"/>
        <w:tabs>
          <w:tab w:leader="none" w:pos="1133" w:val="left"/>
        </w:tabs>
        <w:numPr>
          <w:ilvl w:val="1"/>
          <w:numId w:val="15"/>
        </w:numPr>
        <w:rPr>
          <w:rFonts w:ascii="Arial" w:cs="Arial" w:eastAsia="Arial" w:hAnsi="Arial"/>
          <w:sz w:val="16"/>
          <w:szCs w:val="16"/>
          <w:color w:val="auto"/>
        </w:rPr>
      </w:pPr>
      <w:r>
        <w:rPr>
          <w:rFonts w:ascii="Arial" w:cs="Arial" w:eastAsia="Arial" w:hAnsi="Arial"/>
          <w:sz w:val="16"/>
          <w:szCs w:val="16"/>
          <w:color w:val="auto"/>
        </w:rPr>
        <w:t>Unless the Agent shall have received notice from a Lender prior to the time of any Revolving Credit Borrowing that such Lender will not make available to the Agent an amount equal to the amount of such Lender’s Ratable Share of such Revolving Credit Borrowing, the Agent may assume that such Lender has made such amount available to the Agent on the date of such Revolving Credit Borrowing in accordance with subsection</w:t>
      </w:r>
    </w:p>
    <w:p>
      <w:pPr>
        <w:ind w:left="-4" w:right="180" w:firstLine="4"/>
        <w:spacing w:after="0" w:line="323" w:lineRule="auto"/>
        <w:tabs>
          <w:tab w:leader="none" w:pos="2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of this Section 2.02 and the Agent may, in reliance upon such assumption, make available to the Borrower on such date a corresponding amount. If and to the extent that such Lender shall not have so made such amount available to the Agent, such Lender and the Borrower severally agree</w:t>
      </w:r>
    </w:p>
    <w:p>
      <w:pPr>
        <w:spacing w:after="0" w:line="7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16"/>
          </w:cols>
          <w:pgMar w:left="444" w:top="274" w:right="439" w:bottom="1440" w:gutter="0" w:footer="0" w:header="0"/>
        </w:sectPr>
      </w:pPr>
    </w:p>
    <w:bookmarkStart w:id="32" w:name="page33"/>
    <w:bookmarkEnd w:id="32"/>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repay to the Agent forthwith such corresponding amount together with interest thereon, for each day from the date such amount is made available to the Borrower until the date such amount is repaid to the Agent, at (i) in the case of the Borrower, the interest rate applicable at the time to the Revolving Credit Advances comprising such Revolving Credit Borrowing and (ii) in the case of such Lender, the greater of the Federal Funds Rate and a rate determined by the Agent in accordance with banking industry interbank compensation rules. If the Borrower and such Lender shall pay such interest to the Agent for the same or an overlapping period, the Agent shall promptly remit to the Borrower the amount of such interest paid by the Borrower to the Agent for such period. If such Lender shall repay to the Agent such corresponding amount, such amount so repaid shall constitute such Lender’s Revolving Credit Advance as part of such Revolving Credit Borrowing for purposes of this Agreement. Any payment by the Borrower shall be without prejudice to any claim the Borrower may have against the Lender that shall have failed to make such payment to the Agent.</w:t>
      </w:r>
    </w:p>
    <w:p>
      <w:pPr>
        <w:spacing w:after="0" w:line="58" w:lineRule="exact"/>
        <w:rPr>
          <w:sz w:val="20"/>
          <w:szCs w:val="20"/>
          <w:color w:val="auto"/>
        </w:rPr>
      </w:pPr>
    </w:p>
    <w:p>
      <w:pPr>
        <w:ind w:right="20" w:firstLine="885"/>
        <w:spacing w:after="0" w:line="259" w:lineRule="auto"/>
        <w:tabs>
          <w:tab w:leader="none" w:pos="11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failure of any Lender to make the Revolving Credit Advance to be made by it as part of any Revolving Credit Borrowing shall not relieve any other Lender of its obligation, if any, hereunder to make its Revolving Credit Advance on the date of such Revolving Credit Borrowing, but no Lender shall be responsible for the failure of any other Lender to make the Revolving Credit Advance to be made by such other Lender on the date of any Revolving Credit Borrowing.</w:t>
      </w:r>
    </w:p>
    <w:p>
      <w:pPr>
        <w:spacing w:after="0" w:line="78" w:lineRule="exact"/>
        <w:rPr>
          <w:rFonts w:ascii="Arial" w:cs="Arial" w:eastAsia="Arial" w:hAnsi="Arial"/>
          <w:sz w:val="18"/>
          <w:szCs w:val="18"/>
          <w:color w:val="auto"/>
        </w:rPr>
      </w:pPr>
    </w:p>
    <w:p>
      <w:pPr>
        <w:ind w:right="160" w:firstLine="885"/>
        <w:spacing w:after="0" w:line="259" w:lineRule="auto"/>
        <w:tabs>
          <w:tab w:leader="none" w:pos="1106"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Notwithstanding anything to the contrary herein, as an accommodation to the Borrower, the interest rate on the Revolving Credit Borrowings made on the Effective Date shall (i) initially be at the Eurodollar Rate plus the Applicable Margin for Eurodollar Rate Advances, and shall have an Interest Period of two weeks or (ii) have the same Interest Period(s) as the loans outstanding under the Existing Credit Agreement on the Effective Date, as agreed to by the Borrower and the Agent.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Swing Line Advances</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69" w:lineRule="auto"/>
        <w:tabs>
          <w:tab w:leader="none" w:pos="1126"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Subject to the terms and conditions hereof, and relying on the representations and warranties herein set forth, the Swing Line Lender shall make swing line loans (the “</w:t>
      </w:r>
      <w:r>
        <w:rPr>
          <w:rFonts w:ascii="Arial" w:cs="Arial" w:eastAsia="Arial" w:hAnsi="Arial"/>
          <w:sz w:val="17"/>
          <w:szCs w:val="17"/>
          <w:u w:val="single" w:color="auto"/>
          <w:color w:val="auto"/>
        </w:rPr>
        <w:t>Swing Line Advances</w:t>
      </w:r>
      <w:r>
        <w:rPr>
          <w:rFonts w:ascii="Arial" w:cs="Arial" w:eastAsia="Arial" w:hAnsi="Arial"/>
          <w:sz w:val="17"/>
          <w:szCs w:val="17"/>
          <w:color w:val="auto"/>
        </w:rPr>
        <w:t xml:space="preserve">”) to the Borrower at any time or from time to time after the date hereof to, but not including the Termination Date in an aggregate outstanding principal amount up to but not in excess of the amount of the Swing Line Commitment as requested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that, (a) after giving effect to any amount requested, the Revolving Credit Advances outstanding shall not exceed the Commitments of all of the Lenders and (b) the aggregate principal amount of all outstanding Swing Line Advances (after giving effect to any amount requested), shall not exceed the lesser of (i) the Commitments of all of the Lenders less the sum of all outstanding Revolving Credit Advances and the Letter of Credit Obligations and (ii) the Swing Line Commitment. Within the foregoing limits, the Borrower may prior to the Termination Date borrow, repay and reborrow under the Swing Line Commitment, subject to and in accordance with the terms and limitations hereof. The interest rate for a Swing Line Advance shall be the Daily LIBOR Rate plus the Applicable Margin in effect from time to time for Eurodollar Rate Advances (or, if the Daily LIBOR Rate is unavailable, the Base Rate plus the Applicable Margin in effect from time to time for Base Rate Advances), and such interest shall be due and payable in arrears on the first Business Day of each month.</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33" w:name="page34"/>
    <w:bookmarkEnd w:id="33"/>
    <w:p>
      <w:pPr>
        <w:ind w:right="20" w:firstLine="885"/>
        <w:spacing w:after="0" w:line="269" w:lineRule="auto"/>
        <w:tabs>
          <w:tab w:leader="none" w:pos="1136" w:val="left"/>
        </w:tabs>
        <w:numPr>
          <w:ilvl w:val="0"/>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request for a Swing Line Advance (each a “</w:t>
      </w:r>
      <w:r>
        <w:rPr>
          <w:rFonts w:ascii="Arial" w:cs="Arial" w:eastAsia="Arial" w:hAnsi="Arial"/>
          <w:sz w:val="17"/>
          <w:szCs w:val="17"/>
          <w:u w:val="single" w:color="auto"/>
          <w:color w:val="auto"/>
        </w:rPr>
        <w:t>Notice of Swing Line Borrowing</w:t>
      </w:r>
      <w:r>
        <w:rPr>
          <w:rFonts w:ascii="Arial" w:cs="Arial" w:eastAsia="Arial" w:hAnsi="Arial"/>
          <w:sz w:val="17"/>
          <w:szCs w:val="17"/>
          <w:color w:val="auto"/>
        </w:rPr>
        <w:t>”) shall be in writing (or by telephone immediately confirmed in writing, it being understood that the Swing Line Lender may rely on the authority of any individual making such telephonic request without the necessity of receipt of such written confirmation) in substantially the form of Exhibit B-2 hereto and received by the Swing Line Lender not later than 1:00 p.m. (Pittsburgh, Pennsylvania time) on the Business Day such Swing Line Advance is to be made (or such later time as the Swing Line Lender shall agree in its discretion), specifying in each case (i) the amount to be borrowed, and (ii) the requested borrowing date. The request for such Swing Line Advance shall be irrevocable. The Swing Line Lender shall, not later than 4:00 p.m. (Pittsburgh, Pennsylvania time) on the date specified in the Borrower’s request for such Swing Line Advance, make such Swing Line Advance by crediting the deposit account designated by the Borrower in writing at the time of such request. Each Swing Line Advance shall be in an original principal amount of $100,000 or in integral amounts of $100,000 in excess thereof. The obligation of the Borrower to repay the Swing Line Advances may be evidenced by a promissory note of the Borrower dated the date hereof, payable to the Swing Line Lender in the principal amount of the Swing Line Commitment and substantially in the form of Exhibit A-2 (as amended, supplemented or otherwise modified from time to time, the “</w:t>
      </w:r>
      <w:r>
        <w:rPr>
          <w:rFonts w:ascii="Arial" w:cs="Arial" w:eastAsia="Arial" w:hAnsi="Arial"/>
          <w:sz w:val="17"/>
          <w:szCs w:val="17"/>
          <w:u w:val="single" w:color="auto"/>
          <w:color w:val="auto"/>
        </w:rPr>
        <w:t>Swing Line Note</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right="80" w:firstLine="885"/>
        <w:spacing w:after="0" w:line="273" w:lineRule="auto"/>
        <w:tabs>
          <w:tab w:leader="none" w:pos="112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Borrower shall have the right at any time and from time to time to prepay the Swing Line Advances, in whole or in part, without premium or penalty, upon prior written, facsimile or telephonic notice to the Swing Line Lender given no later than 1:00 p.m. (Pittsburgh, Pennsylvania time) on the date of any proposed prepayment (each such date, a “</w:t>
      </w:r>
      <w:r>
        <w:rPr>
          <w:rFonts w:ascii="Arial" w:cs="Arial" w:eastAsia="Arial" w:hAnsi="Arial"/>
          <w:sz w:val="17"/>
          <w:szCs w:val="17"/>
          <w:u w:val="single" w:color="auto"/>
          <w:color w:val="auto"/>
        </w:rPr>
        <w:t>Swing Line Prepayment Date</w:t>
      </w:r>
      <w:r>
        <w:rPr>
          <w:rFonts w:ascii="Arial" w:cs="Arial" w:eastAsia="Arial" w:hAnsi="Arial"/>
          <w:sz w:val="17"/>
          <w:szCs w:val="17"/>
          <w:color w:val="auto"/>
        </w:rPr>
        <w:t>”). Each notice of prepayment shall specify the Swing Line Advance to be prepaid and the amount to be prepaid (which, except in the case of payment in full, shall be in the principal amount of $100,000 or in integral multiples of $100,000 in excess thereof), shall be irrevocable and shall commit the Borrower to prepay such amount on such date. All Swing Line Advances and accrued interest thereon shall be payable on the Termination Date.</w:t>
      </w:r>
    </w:p>
    <w:p>
      <w:pPr>
        <w:spacing w:after="0" w:line="70" w:lineRule="exact"/>
        <w:rPr>
          <w:rFonts w:ascii="Arial" w:cs="Arial" w:eastAsia="Arial" w:hAnsi="Arial"/>
          <w:sz w:val="17"/>
          <w:szCs w:val="17"/>
          <w:color w:val="auto"/>
        </w:rPr>
      </w:pPr>
    </w:p>
    <w:p>
      <w:pPr>
        <w:ind w:firstLine="885"/>
        <w:spacing w:after="0" w:line="270" w:lineRule="auto"/>
        <w:tabs>
          <w:tab w:leader="none" w:pos="11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If a Swing Line Advance has not been repaid within seven (7) Business Days of the date that such Swing Line Advance was made, the Swing Line Lender shall notify the Agent and the Agent shall notify each Lender thereof and of each Lender’s pro rata share (based on its Ratable Share) thereof. Each Lender shall before 12:00 noon (Pittsburgh, Pennsylvania time) on the next Business Day and whether or not one or more Events of Default shall exist (other than an Event of Default under Section 6.01(e)) make available to the Agent, in immediately available funds, the amount of its pro rata share (based on its Ratable Share) of the principal amount of such Swing Line Advance outstanding. Upon such payment by a Lender, such Lender shall be deemed to have made a Revolving Credit Advance to the Borrower, notwithstanding any failure of the Borrower to satisfy the conditions in Section 3.02. The Agent shall use such funds to repay the principal amount of such Swing Line Advance to the Swing Line Lender. The failure of any Lender to make available to the Agent for the account of the Swing Line Lender a Revolving Credit Advance as provided in this Section 2.03(d) shall be treated for all purposes in the same manner as the failure of a Lender to make a Revolving Credit Advance under </w:t>
      </w:r>
      <w:r>
        <w:rPr>
          <w:rFonts w:ascii="Arial" w:cs="Arial" w:eastAsia="Arial" w:hAnsi="Arial"/>
          <w:sz w:val="17"/>
          <w:szCs w:val="17"/>
          <w:u w:val="single" w:color="auto"/>
          <w:color w:val="auto"/>
        </w:rPr>
        <w:t>Section 2.02(d)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and shall be subject to the provisions of such Sections.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34" w:name="page35"/>
    <w:bookmarkEnd w:id="34"/>
    <w:p>
      <w:pPr>
        <w:ind w:left="-20" w:firstLine="885"/>
        <w:spacing w:after="0" w:line="291" w:lineRule="auto"/>
        <w:tabs>
          <w:tab w:leader="none" w:pos="1106"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occurrence and during the continuance of an Event of Default, the Agent may, and upon the request of the Required Lenders shall, require the Borrower to pay interest (“</w:t>
      </w:r>
      <w:r>
        <w:rPr>
          <w:rFonts w:ascii="Arial" w:cs="Arial" w:eastAsia="Arial" w:hAnsi="Arial"/>
          <w:sz w:val="16"/>
          <w:szCs w:val="16"/>
          <w:u w:val="single" w:color="auto"/>
          <w:color w:val="auto"/>
        </w:rPr>
        <w:t>Default Interest on Swing Line Advances</w:t>
      </w:r>
      <w:r>
        <w:rPr>
          <w:rFonts w:ascii="Arial" w:cs="Arial" w:eastAsia="Arial" w:hAnsi="Arial"/>
          <w:sz w:val="16"/>
          <w:szCs w:val="16"/>
          <w:color w:val="auto"/>
        </w:rPr>
        <w:t xml:space="preserve">”) on (i) the unpaid principal amount of each Swing Line Advance, payable on demand at a rate per annum equal at all times to 2% per annum above the Base Rate plus the Applicable Margin in effect from time to time and (ii) to the fullest extent permitted by law, the amount of any interest payable hereunder with respect to Swing Line Advances that is not paid when due, payable on demand, at a rate per annum equal at all times to 2% per annum above the Base Rate plus the Applicable Margin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following acceleration of the Advances pursuant to Section 6.01, Default Interest on Swing Line Advances shall accrue and be payable hereunder whether or not previously required by the Agent and shall be paid in full on demand.</w:t>
      </w:r>
    </w:p>
    <w:p>
      <w:pPr>
        <w:spacing w:after="0" w:line="59" w:lineRule="exact"/>
        <w:rPr>
          <w:rFonts w:ascii="Arial" w:cs="Arial" w:eastAsia="Arial" w:hAnsi="Arial"/>
          <w:sz w:val="16"/>
          <w:szCs w:val="16"/>
          <w:color w:val="auto"/>
        </w:rPr>
      </w:pPr>
    </w:p>
    <w:p>
      <w:pPr>
        <w:ind w:left="-20" w:right="20" w:firstLine="885"/>
        <w:spacing w:after="0" w:line="284" w:lineRule="auto"/>
        <w:tabs>
          <w:tab w:leader="none" w:pos="10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In the event that (i) the Borrower shall fail to repay the Swing Line Lender (A) the outstanding Swing Line Advances together with accrued interest thereon on the Termination Date, (B) the amount of any Swing Line Advance on any Swing Line Prepayment Date for such Swing Line Advance or (C) any amounts required under Section 2.03(g), or (ii) an Event of Default shall occur under Section 6.01(e), the Agent shall promptly notify each Lender of the unpaid amount of such Swing Line Advance(s) (including accrued interest thereon) and of such Lender’s respective participation therein in an amount equal to such Lender’s Ratable Share of such amount. Each Lender shall make available to the Agent for payment to the Swing Line Lender an amount equal to its respective participation therein (including without limitation its pro rata share of accrued but unpaid interest thereon), in same day funds, at the office of the Agent specified in such notice. If such notice is delivered by the Agent by 11:00 a.m. (Pittsburgh, Pennsylvania time), each Lender shall make funds available to the Agent on that Business Day. If such notice is delivered after 11:00 a.m. (Pittsburgh, Pennsylvania time), each Lender shall make funds available to the Agent on the next Business Day. In the event that any Lender fails to make available to the Agent the amount of such Lender’s participation in such unpaid amount as provided herein, the Swing Line Lender shall be entitled to recover such amount on demand from such Lender together with interest thereon at a rate per annum equal to the higher of the Federal Funds Rate and a rate determined by the Agent in accordance with banking industry rules on interbank compensation for each day during the period between the Business Day such payment is due in accordance with the terms of this Section 2.03(f) and the date on which such Lender makes available its participation in such unpaid amount. The failure of any Lender to make available to the Agent its Ratable Share of any such unpaid amount shall not relieve any other Lender of its obligations hereunder to make available to the Agent its Ratable Share of such unpaid amount on the Business Day such payment is due in accordance with the terms of this Section 2.03(f). The Agent shall promptly distribute to each Lender which has paid all amounts payable by it under this Section 2.03(f) with respect to the unpaid amount of any Swing Line Advance, such Lender’s Ratable Share of all payments received by the Agent from the Borrower in repayment of such Swing Line Advance when such payments are received;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any payment received by the Lenders shall be required to be returned by the Swing Line Lender, any Lender receiving any portion of such payment shall be required to return to the Swing Line Lender such portion thereof previously distributed to it. Notwithstanding anything to the contrary herein, each Lender which has paid all amounts payable by it under this subsection 2.03(f) shall have a direct right to repayment of such amounts from the Borrower subject to the procedures for repaying Lenders set forth in this Section 2.03(f) and the provisions of Section 8.05.</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60" w:top="274" w:right="459" w:bottom="1440" w:gutter="0" w:footer="0" w:header="0"/>
        </w:sectPr>
      </w:pPr>
    </w:p>
    <w:bookmarkStart w:id="35" w:name="page36"/>
    <w:bookmarkEnd w:id="35"/>
    <w:p>
      <w:pPr>
        <w:ind w:right="60" w:firstLine="885"/>
        <w:spacing w:after="0" w:line="297" w:lineRule="auto"/>
        <w:tabs>
          <w:tab w:leader="none" w:pos="1136"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the Commitments are terminated in accordance with the terms hereof, the Swing Line Commitment shall also be terminated automatically. In the event the Borrower reduces the aggregate Commitments to less than the Swing Line Commitment, the Swing Line Commitment shall immediately be reduced to an amount equal to the aggregate Commitments. In the event the Borrower reduces the aggregate Commitments to less than the outstanding principal amount of the Swing Line Advances outstanding, the Borrower shall immediately repay the amount by which the outstanding Swing Line Advances exceeds the Swing Line Commitment as so reduced plus accrued interest thereon.</w:t>
      </w:r>
    </w:p>
    <w:p>
      <w:pPr>
        <w:spacing w:after="0" w:line="50" w:lineRule="exact"/>
        <w:rPr>
          <w:rFonts w:ascii="Arial" w:cs="Arial" w:eastAsia="Arial" w:hAnsi="Arial"/>
          <w:sz w:val="16"/>
          <w:szCs w:val="16"/>
          <w:color w:val="auto"/>
        </w:rPr>
      </w:pPr>
    </w:p>
    <w:p>
      <w:pPr>
        <w:ind w:right="20" w:firstLine="885"/>
        <w:spacing w:after="0" w:line="288" w:lineRule="auto"/>
        <w:tabs>
          <w:tab w:leader="none" w:pos="1136" w:val="left"/>
        </w:tabs>
        <w:numPr>
          <w:ilvl w:val="0"/>
          <w:numId w:val="21"/>
        </w:numPr>
        <w:rPr>
          <w:rFonts w:ascii="Arial" w:cs="Arial" w:eastAsia="Arial" w:hAnsi="Arial"/>
          <w:sz w:val="16"/>
          <w:szCs w:val="16"/>
          <w:color w:val="auto"/>
        </w:rPr>
      </w:pPr>
      <w:r>
        <w:rPr>
          <w:rFonts w:ascii="Arial" w:cs="Arial" w:eastAsia="Arial" w:hAnsi="Arial"/>
          <w:sz w:val="16"/>
          <w:szCs w:val="16"/>
          <w:color w:val="auto"/>
        </w:rPr>
        <w:t>Each Lender acknowledges and agrees that, in making any Swing Line Advance, the Swing Line Lender shall be entitled to rely, and shall not incur any liability for relying, upon the representation and warranty of the Borrower deemed made pursuant to Section 3.02, unless, at least one Business Day prior to the time such Swing Line Advance was made, the Required Lenders shall have notified the Swing Line Lender (with a copy to the Agent) in writing that, as a result of one or more events or circumstances described in such notice, one or more of the conditions precedent set forth in Section 3.02 would not be satisfied if such Swing Line Advance were then made (it being understood and agreed that, in the event the Swing Line Lender shall have received any such notice, it shall have no obligation to make any Swing Line Advance until and unless it shall be satisfied in its sole discretion that the events and circumstances described in such notice shall have been cured or otherwise shall have ceased to exist). Each Lender further acknowledges and agrees that its obligation to acquire participations in Swing Line Advances pursuant to this Section 2.03 is absolute and unconditional and shall not be affected by any circumstance whatsoever, including the occurrence and continuance of a Default or Event of Default or any reduction or termination of the Commitments, and that each such payment shall be made without any offset, abatement, withholding or reduction whatsoever.</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Letter of Credit Subfacility</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87" w:lineRule="auto"/>
        <w:tabs>
          <w:tab w:leader="none" w:pos="1126"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Issuance of Letters of Credit</w:t>
      </w:r>
      <w:r>
        <w:rPr>
          <w:rFonts w:ascii="Arial" w:cs="Arial" w:eastAsia="Arial" w:hAnsi="Arial"/>
          <w:sz w:val="16"/>
          <w:szCs w:val="16"/>
          <w:color w:val="auto"/>
        </w:rPr>
        <w:t>. The Borrower may at any time prior to the Termination Date request the issuance of a letter of credit (each a “</w:t>
      </w:r>
      <w:r>
        <w:rPr>
          <w:rFonts w:ascii="Arial" w:cs="Arial" w:eastAsia="Arial" w:hAnsi="Arial"/>
          <w:sz w:val="16"/>
          <w:szCs w:val="16"/>
          <w:u w:val="single" w:color="auto"/>
          <w:color w:val="auto"/>
        </w:rPr>
        <w:t>Letter of Credit</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Letters of Credit</w:t>
      </w:r>
      <w:r>
        <w:rPr>
          <w:rFonts w:ascii="Arial" w:cs="Arial" w:eastAsia="Arial" w:hAnsi="Arial"/>
          <w:sz w:val="16"/>
          <w:szCs w:val="16"/>
          <w:color w:val="auto"/>
        </w:rPr>
        <w:t>”) on behalf of itself or its Subsidiaries, or the amendment or extension of an existing Letter of Credit, by delivering to the relevant Issuing Lender (with a copy to the Agent) a completed application and agreement for letters of credit, or request for such amendment or extension, as applicable, in such form as such Issuing Lender may specify from time to time by no later than 10:00 a.m. (Pittsburgh, Pennsylvania time) at least three (3) Business Days, or such shorter period as may be agreed to by such Issuing Lender, in advance of the proposed date of issuance, amendment or extension. Each Letter of Credit shall be a standby letter of credit and no commercial letter of credit shall be issued hereunder. Promptly after receipt of any letter of credit application, the relevant Issuing Lender shall confirm with the Agent (by telephone or in writing) that the Agent has received a copy of such Letter of Credit application and if not, such Issuing Lender will provide the Agent with a copy thereof. Unless the relevant Issuing Lender has received notice from any Lender, the Agent, or the Borrower, at least one day prior to the requested date of issuance, amendment or extension of the applicable Letter of Credit, that one or more applicable conditions in Section 3.02 is not satisfied, then, subject to the terms and conditions hereof and in reliance on the agreements of the other Lenders set forth in this Section 2.04, such Issuing Lender or any of such Issuing Lender’s Affiliates will issue a Letter of Credit or agree to such amendment or extension, provided that each Letter of</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shall (A) have a maximum maturity of no greater than twelve (12) months from the date of issuance, and (B) in no event expire later than five</w:t>
      </w:r>
    </w:p>
    <w:p>
      <w:pPr>
        <w:spacing w:after="0" w:line="46" w:lineRule="exact"/>
        <w:rPr>
          <w:sz w:val="20"/>
          <w:szCs w:val="20"/>
          <w:color w:val="auto"/>
        </w:rPr>
      </w:pPr>
    </w:p>
    <w:p>
      <w:pPr>
        <w:ind w:firstLine="4"/>
        <w:spacing w:after="0" w:line="281" w:lineRule="auto"/>
        <w:tabs>
          <w:tab w:leader="none" w:pos="2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Business Days prior to the Termination Date and provided further that in no event shall (i) the Letter of Credit Obligations exceed, at any one time, $100,000,000 (the “</w:t>
      </w:r>
      <w:r>
        <w:rPr>
          <w:rFonts w:ascii="Arial" w:cs="Arial" w:eastAsia="Arial" w:hAnsi="Arial"/>
          <w:sz w:val="16"/>
          <w:szCs w:val="16"/>
          <w:u w:val="single" w:color="auto"/>
          <w:color w:val="auto"/>
        </w:rPr>
        <w:t>Letter of Credit Sublimit</w:t>
      </w:r>
      <w:r>
        <w:rPr>
          <w:rFonts w:ascii="Arial" w:cs="Arial" w:eastAsia="Arial" w:hAnsi="Arial"/>
          <w:sz w:val="16"/>
          <w:szCs w:val="16"/>
          <w:color w:val="auto"/>
        </w:rPr>
        <w:t>”) or (ii) the Revolving Facility Usage exceed, at any one time, the Commitments. Notwithstanding the foregoing, any Letter of Credit may contain customary automatic renewal provisions agreed upon by the Borrower and the relevant Issuing Lender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pursuant to which the expiration date of such Auto-Extension Letter of Credit shall automatically be extended for a period of up to 12 months (but not to a date later than the date set forth in clause (B) above), subject to a right on the part of such Issuing Lender to prevent any such renewal from occurring for one of the reasons set forth in this Section 2.04(a) by giving notice to the beneficiary in advance of any such renewal;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initial expiration date (or any subsequent expiration date) of each such Auto-Extension Letter of Credit is not later than five (5) Business Days prior to the Termination Date. Unless otherwise directed by the relevant Issuing Lender, the Borrower shall not be required to make a specific request to such Issuing Lender for any extension of an Auto-Extension Letter of Credit. Once an Auto-Extension Letter of Credit has been issued, the Lenders shall be deemed to have authorized the relevant Issuing Lender to permit the extension of such Letter of Credit at any time to an expiry date not later than the date set forth in clause (B) above; provided, however, that an Issuing Lender shall not permit any such extension if</w:t>
      </w:r>
    </w:p>
    <w:p>
      <w:pPr>
        <w:spacing w:after="0" w:line="7" w:lineRule="exact"/>
        <w:rPr>
          <w:rFonts w:ascii="Arial" w:cs="Arial" w:eastAsia="Arial" w:hAnsi="Arial"/>
          <w:sz w:val="16"/>
          <w:szCs w:val="16"/>
          <w:color w:val="auto"/>
        </w:rPr>
      </w:pPr>
    </w:p>
    <w:p>
      <w:pPr>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(I) such Issuing Lender has determined that it would not be permitted, or would have no obligation at such time, to issue such Letter of Credit in its revised form (as extended) under the terms hereof, or (II) it has received notice (which may be by telephone or in writing) on or before the day that is five Business Days before the date that notice must be given to prevent an extension of such Letter of Credit from the Agent or any Lender that one or more of the applicable conditions specified in Section 3.02 is not then satisfied and directing such Issuing Lender not to permit such extension (it being understood and agreed that, in the event an Issuing Lender shall have received any such notice, it shall have no obligation to issue, amend, renew or extend any Letter of Credit until and unless it shall be satisfied in its sole discretion that the events and circumstances described in such notice shall have been cured or otherwise shall have ceased to exist). Each request by the Borrower for the issuance, amendment or extension of a Letter of Credit shall be deemed to be a representation by the Borrower that it shall be in compliance with this </w:t>
      </w:r>
      <w:r>
        <w:rPr>
          <w:rFonts w:ascii="Arial" w:cs="Arial" w:eastAsia="Arial" w:hAnsi="Arial"/>
          <w:sz w:val="17"/>
          <w:szCs w:val="17"/>
          <w:u w:val="single" w:color="auto"/>
          <w:color w:val="auto"/>
        </w:rPr>
        <w:t>Section 2.04(a)</w:t>
      </w:r>
      <w:r>
        <w:rPr>
          <w:rFonts w:ascii="Arial" w:cs="Arial" w:eastAsia="Arial" w:hAnsi="Arial"/>
          <w:sz w:val="17"/>
          <w:szCs w:val="17"/>
          <w:color w:val="auto"/>
        </w:rPr>
        <w:t xml:space="preserve"> and with Section 3.02 after giving effect to the requested issuance, amendment or extension of such Letter of Credit. Promptly after its delivery of any Letter of Credit or any amendment to a Letter of Credit to the beneficiary thereof, the relevant Issuing Lender will also deliver to the Borrower and the Agent a true and complete copy of such Letter of Credit or amendment.</w:t>
      </w:r>
    </w:p>
    <w:p>
      <w:pPr>
        <w:spacing w:after="0" w:line="78" w:lineRule="exact"/>
        <w:rPr>
          <w:rFonts w:ascii="Arial" w:cs="Arial" w:eastAsia="Arial" w:hAnsi="Arial"/>
          <w:sz w:val="16"/>
          <w:szCs w:val="16"/>
          <w:color w:val="auto"/>
        </w:rPr>
      </w:pPr>
    </w:p>
    <w:p>
      <w:pPr>
        <w:ind w:right="60" w:firstLine="885"/>
        <w:spacing w:after="0" w:line="270" w:lineRule="auto"/>
        <w:tabs>
          <w:tab w:leader="none" w:pos="1136"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 The Borrower shall pay (i) to the Agent for the ratable account of the Lenders a fee (the “</w:t>
      </w:r>
      <w:r>
        <w:rPr>
          <w:rFonts w:ascii="Arial" w:cs="Arial" w:eastAsia="Arial" w:hAnsi="Arial"/>
          <w:sz w:val="17"/>
          <w:szCs w:val="17"/>
          <w:u w:val="single" w:color="auto"/>
          <w:color w:val="auto"/>
        </w:rPr>
        <w:t>Letter of Credit Fee</w:t>
      </w:r>
      <w:r>
        <w:rPr>
          <w:rFonts w:ascii="Arial" w:cs="Arial" w:eastAsia="Arial" w:hAnsi="Arial"/>
          <w:sz w:val="17"/>
          <w:szCs w:val="17"/>
          <w:color w:val="auto"/>
        </w:rPr>
        <w:t>”) equal to the Applicable Margin for Revolving Credit Advances that are Eurodollar Rate Advances in effect from time to time and (ii) to each Issuing Lender for its own account a fronting fee equal to 0.125% per annum with respect to all Letters of Credit issued by such Issuing Lender (in each case under clauses (i) and (ii) above computed on the basis of a year of 360 days and actual days elapsed), which fees shall be computed on the daily average Letter of Credit Obligations and shall be payable quarterly in arrears on or before the third Business Day following the last day of each March, June, September and December following the date hereof. The Borrower shall also pay to each Issuing Lender for such Issuing Lender’s sole account such Issuing Lender’s then in effect customary invoiced fees and administrative expenses payable with respect to the Letters of Credit as such Issuing Lender may generally charge or incur from time to time in connection with the issuance, maintenance, amendment (if any), assignment or transfer (if any), negotiation, and administration of Letters of Credit.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7" w:name="page38"/>
    <w:bookmarkEnd w:id="37"/>
    <w:p>
      <w:pPr>
        <w:ind w:right="280" w:firstLine="885"/>
        <w:spacing w:after="0" w:line="259" w:lineRule="auto"/>
        <w:tabs>
          <w:tab w:leader="none" w:pos="1126"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Disbursements, Reimbursement</w:t>
      </w:r>
      <w:r>
        <w:rPr>
          <w:rFonts w:ascii="Arial" w:cs="Arial" w:eastAsia="Arial" w:hAnsi="Arial"/>
          <w:sz w:val="18"/>
          <w:szCs w:val="18"/>
          <w:color w:val="auto"/>
        </w:rPr>
        <w:t>. Immediately upon the issuance of each Letter of Credit, each Lender shall be deemed to, and hereby irrevocably and unconditionally agrees to, purchase from the relevant Issuing Lender a participation in such Letter of Credit and each drawing thereunder in an amount equal to such Lender’s Ratable Share of the maximum amount available to be drawn under such Letter of Credit and the amount of such drawing, respectively.</w:t>
      </w:r>
    </w:p>
    <w:p>
      <w:pPr>
        <w:spacing w:after="0" w:line="78" w:lineRule="exact"/>
        <w:rPr>
          <w:rFonts w:ascii="Arial" w:cs="Arial" w:eastAsia="Arial" w:hAnsi="Arial"/>
          <w:sz w:val="18"/>
          <w:szCs w:val="18"/>
          <w:color w:val="auto"/>
        </w:rPr>
      </w:pPr>
    </w:p>
    <w:p>
      <w:pPr>
        <w:ind w:left="440" w:firstLine="428"/>
        <w:spacing w:after="0" w:line="285" w:lineRule="auto"/>
        <w:tabs>
          <w:tab w:leader="none" w:pos="1078"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event of any request for a drawing under a Letter of Credit by the beneficiary or transferee thereof, the relevant Issuing Lender will promptly notify the Borrower and the Agent thereof. Provided that it shall have received such notice by 10:00 a.m. (Pittsburgh, Pennsylvania time) on the date that an amount is paid by an Issuing Lender under any Letter of Credit (each such date, a “</w:t>
      </w:r>
      <w:r>
        <w:rPr>
          <w:rFonts w:ascii="Arial" w:cs="Arial" w:eastAsia="Arial" w:hAnsi="Arial"/>
          <w:sz w:val="16"/>
          <w:szCs w:val="16"/>
          <w:u w:val="single" w:color="auto"/>
          <w:color w:val="auto"/>
        </w:rPr>
        <w:t>Drawing Date</w:t>
      </w:r>
      <w:r>
        <w:rPr>
          <w:rFonts w:ascii="Arial" w:cs="Arial" w:eastAsia="Arial" w:hAnsi="Arial"/>
          <w:sz w:val="16"/>
          <w:szCs w:val="16"/>
          <w:color w:val="auto"/>
        </w:rPr>
        <w:t>”), the Borrower shall reimburse (such obligation to reimburse the Issuing Lenders shall sometimes be referred to as a “</w:t>
      </w:r>
      <w:r>
        <w:rPr>
          <w:rFonts w:ascii="Arial" w:cs="Arial" w:eastAsia="Arial" w:hAnsi="Arial"/>
          <w:sz w:val="16"/>
          <w:szCs w:val="16"/>
          <w:u w:val="single" w:color="auto"/>
          <w:color w:val="auto"/>
        </w:rPr>
        <w:t>Reimbursement Obligation</w:t>
      </w:r>
      <w:r>
        <w:rPr>
          <w:rFonts w:ascii="Arial" w:cs="Arial" w:eastAsia="Arial" w:hAnsi="Arial"/>
          <w:sz w:val="16"/>
          <w:szCs w:val="16"/>
          <w:color w:val="auto"/>
        </w:rPr>
        <w:t>”) such Issuing Lender by 2:00 p.m. (Pittsburgh, Pennsylvania time) on such date by paying to the Agent for the account of such Issuing Lender an amount equal to the amount so paid by such Issuing Lender, or if such notice has not been received by the Borrower by 10:00 a.m. (Pittsburgh, Pennsylvania time) on the Drawing Date, then the Borrower shall make such payment, with interest thereon from the Drawing Date at the rate applicable to Base Rate Advances, not later than 2:00 p.m. (Pittsburgh, Pennsylvania time) on the Business Day immediately following the date on which it shall have received such notice. In the event the Borrower fails to reimburse an Issuing Lender (through the Agent) for the full amount of any drawing under any Letter of Credit when due (plus, to the extent applicable, interest thereon as provided above), the Agent will promptly notify each Lender thereof, and the Borrower shall be deemed to have requested that Base Rate Advances be made by the Lenders to be disbursed, if such notice is received on or before 12:00 noon (Pittsburgh, Pennsylvania time) on a Business Day, not later than 2:00 p.m. (Pittsburgh, Pennsylvania time) on such Business Day and, otherwise, not later than 2:00 p.m. (Pittsburgh, Pennsylvania time) on the next Business Day, subject to, in each case, the amount of the unutilized portion of the Commitments and subject to the conditions set forth in Section 3.02 other than any notice requirements. Any notice given by the Agent or an Issuing Lender pursuant to this Section 2.04(c)(i) may be oral if immediately confirmed in writing; provided that the lack of such an immediate confirmation shall not affect the conclusiveness or binding effect of such notice.</w:t>
      </w:r>
    </w:p>
    <w:p>
      <w:pPr>
        <w:spacing w:after="0" w:line="69" w:lineRule="exact"/>
        <w:rPr>
          <w:rFonts w:ascii="Arial" w:cs="Arial" w:eastAsia="Arial" w:hAnsi="Arial"/>
          <w:sz w:val="16"/>
          <w:szCs w:val="16"/>
          <w:color w:val="auto"/>
        </w:rPr>
      </w:pPr>
    </w:p>
    <w:p>
      <w:pPr>
        <w:ind w:left="440" w:right="240" w:firstLine="428"/>
        <w:spacing w:after="0" w:line="257" w:lineRule="auto"/>
        <w:tabs>
          <w:tab w:leader="none" w:pos="11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Lender shall upon any notice pursuant to Section 2.04(c)(i) make available to the Agent for the account of the relevant Issuing Lender an amount in immediately available funds equal to its Ratable Share of the amount of the drawing, whereupon the participating Lenders shall (subject to this Section 2.04(c)(ii)) each be deemed to have made a Base Rate Advance to the Borrower in that amount. If any Lender so notified fails to make available to the Agent for the account of the relevant Issuing Lender the amount of such Lender’s Ratable Share of such amount by no later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38" w:name="page39"/>
    <w:bookmarkEnd w:id="38"/>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2:00 p.m. on the Drawing Date, then interest shall accrue on such Lender’s obligation to make such payment, from the Drawing Date to the date on which such Lender makes such payment (i) at a rate per annum equal to the Federal Funds Rate during the first three (3) days following the Drawing Date and (ii) at a rate per annum equal to the rate applicable to Base Rate Advances on and after the fourth day following the Drawing Date. The Agent and the relevant Issuing Lender will promptly give notice (as described in Section 2.04(c)(i) above) of the occurrence of the Drawing Date, but failure of the Agent or any Issuing Lender to give any such notice on the Drawing Date or in sufficient time to enable any Lender to effect such payment on such date shall not relieve such Lender from its obligation under this Section 2.04(c)(ii).</w:t>
      </w:r>
    </w:p>
    <w:p>
      <w:pPr>
        <w:spacing w:after="0" w:line="57" w:lineRule="exact"/>
        <w:rPr>
          <w:sz w:val="20"/>
          <w:szCs w:val="20"/>
          <w:color w:val="auto"/>
        </w:rPr>
      </w:pPr>
    </w:p>
    <w:p>
      <w:pPr>
        <w:ind w:firstLine="428"/>
        <w:spacing w:after="0" w:line="291" w:lineRule="auto"/>
        <w:tabs>
          <w:tab w:leader="none" w:pos="738" w:val="left"/>
        </w:tabs>
        <w:numPr>
          <w:ilvl w:val="1"/>
          <w:numId w:val="26"/>
        </w:numPr>
        <w:rPr>
          <w:rFonts w:ascii="Arial" w:cs="Arial" w:eastAsia="Arial" w:hAnsi="Arial"/>
          <w:sz w:val="16"/>
          <w:szCs w:val="16"/>
          <w:color w:val="auto"/>
        </w:rPr>
      </w:pPr>
      <w:r>
        <w:rPr>
          <w:rFonts w:ascii="Arial" w:cs="Arial" w:eastAsia="Arial" w:hAnsi="Arial"/>
          <w:sz w:val="16"/>
          <w:szCs w:val="16"/>
          <w:color w:val="auto"/>
        </w:rPr>
        <w:t>With respect to any unreimbursed drawing that is not converted into a Base Rate Advance to the Borrower in whole or in part as contemplated by Section 2.04(c)(i), because of the Borrower’s failure to satisfy the conditions set forth in Section 3.02 other than any notice requirements, or for any other reason, the Borrower shall be deemed to have incurred from the relevant Issuing Lender a borrowing (each a “</w:t>
      </w:r>
      <w:r>
        <w:rPr>
          <w:rFonts w:ascii="Arial" w:cs="Arial" w:eastAsia="Arial" w:hAnsi="Arial"/>
          <w:sz w:val="16"/>
          <w:szCs w:val="16"/>
          <w:u w:val="single" w:color="auto"/>
          <w:color w:val="auto"/>
        </w:rPr>
        <w:t>Letter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Credit Borrowing</w:t>
      </w:r>
      <w:r>
        <w:rPr>
          <w:rFonts w:ascii="Arial" w:cs="Arial" w:eastAsia="Arial" w:hAnsi="Arial"/>
          <w:sz w:val="16"/>
          <w:szCs w:val="16"/>
          <w:color w:val="auto"/>
        </w:rPr>
        <w:t>”) in the amount of such drawing. Such Letter of Credit Borrowing shall be due and payable on demand (together with interest) and shall bear interest at the rate per annum applicable to the Base Rate Advances. Each Lender’s payment to the Agent for the account of the relevant Issuing Lender pursuant to this Section 2.04(c) shall be deemed to be a payment in respect of its participation in such Letter of Credit Borrowing (each a “</w:t>
      </w:r>
      <w:r>
        <w:rPr>
          <w:rFonts w:ascii="Arial" w:cs="Arial" w:eastAsia="Arial" w:hAnsi="Arial"/>
          <w:sz w:val="16"/>
          <w:szCs w:val="16"/>
          <w:u w:val="single" w:color="auto"/>
          <w:color w:val="auto"/>
        </w:rPr>
        <w:t>Participation Advance</w:t>
      </w:r>
      <w:r>
        <w:rPr>
          <w:rFonts w:ascii="Arial" w:cs="Arial" w:eastAsia="Arial" w:hAnsi="Arial"/>
          <w:sz w:val="16"/>
          <w:szCs w:val="16"/>
          <w:color w:val="auto"/>
        </w:rPr>
        <w:t>”) from such Lender in satisfaction of its participation obligation under this Section 2.04(c).</w:t>
      </w:r>
    </w:p>
    <w:p>
      <w:pPr>
        <w:spacing w:after="0" w:line="59" w:lineRule="exact"/>
        <w:rPr>
          <w:rFonts w:ascii="Arial" w:cs="Arial" w:eastAsia="Arial" w:hAnsi="Arial"/>
          <w:sz w:val="16"/>
          <w:szCs w:val="16"/>
          <w:color w:val="auto"/>
        </w:rPr>
      </w:pPr>
    </w:p>
    <w:p>
      <w:pPr>
        <w:ind w:left="260" w:hanging="256"/>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 Advances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428"/>
        <w:spacing w:after="0" w:line="293" w:lineRule="auto"/>
        <w:tabs>
          <w:tab w:leader="none" w:pos="638" w:val="left"/>
        </w:tabs>
        <w:numPr>
          <w:ilvl w:val="1"/>
          <w:numId w:val="27"/>
        </w:numPr>
        <w:rPr>
          <w:rFonts w:ascii="Arial" w:cs="Arial" w:eastAsia="Arial" w:hAnsi="Arial"/>
          <w:sz w:val="16"/>
          <w:szCs w:val="16"/>
          <w:color w:val="auto"/>
        </w:rPr>
      </w:pPr>
      <w:r>
        <w:rPr>
          <w:rFonts w:ascii="Arial" w:cs="Arial" w:eastAsia="Arial" w:hAnsi="Arial"/>
          <w:sz w:val="16"/>
          <w:szCs w:val="16"/>
          <w:color w:val="auto"/>
        </w:rPr>
        <w:t>Upon (and only upon) receipt by the Agent for the account of the relevant Issuing Lender of immediately available funds from the Borrower (x) in reimbursement of any payment made by such Issuing Lender under the Letter of Credit with respect to which any Lender has made a Participation Advance to the Agent, or (y) in payment of interest on such a payment made by such Issuing Lender under such a Letter of Credit, the Agent on behalf of such Issuing Lender will pay to each Lender, in the same funds as those received by the Agent, the amount of such Lender’s Ratable Share of such funds, except the Agent shall retain for the account of the relevant Issuing Lender the amount of the Ratable Share of such funds of any Lender that did not make a Participation Advance in respect of such payment by such Issuing Lender.</w:t>
      </w:r>
    </w:p>
    <w:p>
      <w:pPr>
        <w:spacing w:after="0" w:line="57" w:lineRule="exact"/>
        <w:rPr>
          <w:sz w:val="20"/>
          <w:szCs w:val="20"/>
          <w:color w:val="auto"/>
        </w:rPr>
      </w:pPr>
    </w:p>
    <w:p>
      <w:pPr>
        <w:ind w:right="20" w:firstLine="428"/>
        <w:spacing w:after="0" w:line="271" w:lineRule="auto"/>
        <w:tabs>
          <w:tab w:leader="none" w:pos="688"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the Agent (or any Issuing Lender) is required at any time to return to the Borrower, or to a trustee, receiver, liquidator, custodian, or any official in any insolvency proceeding, any portion of any payment made by the Borrower to the Agent for the account of an Issuing Lender (or any payment made directly to any Issuing Lender) pursuant to this Section in reimbursement of a payment made under the Letter of Credit or any interest or fee thereon, each Lender shall, on demand of the Agent (or the relevant Issuing Lender, as the case may be) forthwith return to the Agent for the account of the relevant Issuing Lender (or return directly to such Issuing Lender, as the case may be) the amount of its Ratable Share of any amounts so returned by the Agent (or such Issuing Lender, as the case may be) plus interest thereon from the date such demand is made to the date such amounts are returned by such Lender to the Agent (or such Issuing Lender, as the case may be), at a rate per annum equal to the Federal Funds Rate in effect from time to time.</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80"/>
          </w:cols>
          <w:pgMar w:left="880" w:top="274" w:right="439" w:bottom="1440" w:gutter="0" w:footer="0" w:header="0"/>
        </w:sectPr>
      </w:pPr>
    </w:p>
    <w:bookmarkStart w:id="39" w:name="page40"/>
    <w:bookmarkEnd w:id="39"/>
    <w:p>
      <w:pPr>
        <w:ind w:left="-100" w:right="60" w:firstLine="885"/>
        <w:spacing w:after="0" w:line="255" w:lineRule="auto"/>
        <w:tabs>
          <w:tab w:leader="none" w:pos="1026"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Documentation</w:t>
      </w:r>
      <w:r>
        <w:rPr>
          <w:rFonts w:ascii="Arial" w:cs="Arial" w:eastAsia="Arial" w:hAnsi="Arial"/>
          <w:sz w:val="18"/>
          <w:szCs w:val="18"/>
          <w:color w:val="auto"/>
        </w:rPr>
        <w:t>. The Borrower agrees to be bound by the terms of each Issuing Lender’s application and agreement for letters of credit and each Issuing Lender’s written regulations and customary practices relating to letters of credit, though such interpretation may be different from the Borrower’s. In the event of a conflict between such application or agreement and this Agreement, this Agreement shall govern. It is understood and agreed that, except in the case of gross negligence or willful misconduct, no Issuing Lender shall be liable for any error, negligence and/or mistakes, whether of omission or commission, in following the Borrower’s instructions or those contained in the Letters of Credit or any modifications, amendments or supplements thereto.</w:t>
      </w:r>
    </w:p>
    <w:p>
      <w:pPr>
        <w:spacing w:after="0" w:line="85" w:lineRule="exact"/>
        <w:rPr>
          <w:rFonts w:ascii="Arial" w:cs="Arial" w:eastAsia="Arial" w:hAnsi="Arial"/>
          <w:sz w:val="18"/>
          <w:szCs w:val="18"/>
          <w:color w:val="auto"/>
        </w:rPr>
      </w:pPr>
    </w:p>
    <w:p>
      <w:pPr>
        <w:ind w:left="-100" w:right="40" w:firstLine="885"/>
        <w:spacing w:after="0" w:line="286" w:lineRule="auto"/>
        <w:tabs>
          <w:tab w:leader="none" w:pos="1006"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Determinations to Honor Drawing Requests</w:t>
      </w:r>
      <w:r>
        <w:rPr>
          <w:rFonts w:ascii="Arial" w:cs="Arial" w:eastAsia="Arial" w:hAnsi="Arial"/>
          <w:sz w:val="17"/>
          <w:szCs w:val="17"/>
          <w:color w:val="auto"/>
        </w:rPr>
        <w:t>. In determining whether to honor any request for drawing under any Letter of Credit by the beneficiary thereof, an Issuing Lender shall be responsible only to determine that the documents and certificates required to be delivered under such Letter of Credit have been delivered and that they comply on their face with the requirements of such Letter of Credit.</w:t>
      </w:r>
    </w:p>
    <w:p>
      <w:pPr>
        <w:spacing w:after="0" w:line="57" w:lineRule="exact"/>
        <w:rPr>
          <w:rFonts w:ascii="Arial" w:cs="Arial" w:eastAsia="Arial" w:hAnsi="Arial"/>
          <w:sz w:val="17"/>
          <w:szCs w:val="17"/>
          <w:color w:val="auto"/>
        </w:rPr>
      </w:pPr>
    </w:p>
    <w:p>
      <w:pPr>
        <w:ind w:left="-100" w:right="260" w:firstLine="885"/>
        <w:spacing w:after="0" w:line="257" w:lineRule="auto"/>
        <w:tabs>
          <w:tab w:leader="none" w:pos="1036"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Nature of Participation and Reimbursement Obligations</w:t>
      </w:r>
      <w:r>
        <w:rPr>
          <w:rFonts w:ascii="Arial" w:cs="Arial" w:eastAsia="Arial" w:hAnsi="Arial"/>
          <w:sz w:val="18"/>
          <w:szCs w:val="18"/>
          <w:color w:val="auto"/>
        </w:rPr>
        <w:t>. Each Lender’s obligation in accordance with this Agreement to make the Revolving Credit Advances or Participation Advances, as contemplated by Section 2.04(c), as a result of a drawing under a Letter of Credit, and the obligation of the Borrower to reimburse the relevant Issuing Lender upon a draw under a Letter of Credit, shall be absolute, unconditional and irrevocable, and shall be performed strictly in accordance with the terms of this Section 2.04 under all circumstances, including the following circumstances:</w:t>
      </w:r>
    </w:p>
    <w:p>
      <w:pPr>
        <w:spacing w:after="0" w:line="80" w:lineRule="exact"/>
        <w:rPr>
          <w:rFonts w:ascii="Arial" w:cs="Arial" w:eastAsia="Arial" w:hAnsi="Arial"/>
          <w:sz w:val="18"/>
          <w:szCs w:val="18"/>
          <w:color w:val="auto"/>
        </w:rPr>
      </w:pPr>
    </w:p>
    <w:p>
      <w:pPr>
        <w:ind w:left="340" w:right="20" w:firstLine="428"/>
        <w:spacing w:after="0" w:line="264" w:lineRule="auto"/>
        <w:tabs>
          <w:tab w:leader="none" w:pos="97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set-off, counterclaim, recoupment, defense or other right which such Lender may have against any Issuing Lender or any of its Affiliates, the Borrower or any other Person for any reason whatsoever, or which the Borrower may have against any Issuing Lender or any of its Affiliates, any Lender or any other Person for any reason whatsoever;</w:t>
      </w:r>
    </w:p>
    <w:p>
      <w:pPr>
        <w:spacing w:after="0" w:line="73" w:lineRule="exact"/>
        <w:rPr>
          <w:rFonts w:ascii="Arial" w:cs="Arial" w:eastAsia="Arial" w:hAnsi="Arial"/>
          <w:sz w:val="18"/>
          <w:szCs w:val="18"/>
          <w:color w:val="auto"/>
        </w:rPr>
      </w:pPr>
    </w:p>
    <w:p>
      <w:pPr>
        <w:ind w:left="340" w:firstLine="428"/>
        <w:spacing w:after="0" w:line="259" w:lineRule="auto"/>
        <w:tabs>
          <w:tab w:leader="none" w:pos="10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failure of the Borrower or any other Person to comply, in connection with a Letter of Credit Borrowing, with the conditions set forth in Sections 2.01, 2.02 or 3.02 or as otherwise set forth in this Agreement for the making of a Revolving Credit Advance, it being acknowledged that such conditions are not required for the making of a Letter of Credit Borrowing and the obligation of the Lenders to make Participation Advances under Section 2.04(c);</w:t>
      </w:r>
    </w:p>
    <w:p>
      <w:pPr>
        <w:spacing w:after="0" w:line="78" w:lineRule="exact"/>
        <w:rPr>
          <w:rFonts w:ascii="Arial" w:cs="Arial" w:eastAsia="Arial" w:hAnsi="Arial"/>
          <w:sz w:val="18"/>
          <w:szCs w:val="18"/>
          <w:color w:val="auto"/>
        </w:rPr>
      </w:pPr>
    </w:p>
    <w:p>
      <w:pPr>
        <w:ind w:left="1080" w:hanging="31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lack of validity or enforceability of any Letter of Credit;</w:t>
      </w:r>
    </w:p>
    <w:p>
      <w:pPr>
        <w:spacing w:after="0" w:line="117" w:lineRule="exact"/>
        <w:rPr>
          <w:rFonts w:ascii="Arial" w:cs="Arial" w:eastAsia="Arial" w:hAnsi="Arial"/>
          <w:sz w:val="18"/>
          <w:szCs w:val="18"/>
          <w:color w:val="auto"/>
        </w:rPr>
      </w:pPr>
    </w:p>
    <w:p>
      <w:pPr>
        <w:jc w:val="both"/>
        <w:ind w:left="340" w:right="40" w:firstLine="428"/>
        <w:spacing w:after="0" w:line="264" w:lineRule="auto"/>
        <w:tabs>
          <w:tab w:leader="none" w:pos="106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claim of breach of warranty that might be made by the Borrower or any Lender against any beneficiary of a Letter of Credit, or the existence of any claim, set-off, recoupment, counterclaim, crossclaim, defense or other right which the Borrower or any Lender may have at any time against a beneficiary, successor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20"/>
          </w:cols>
          <w:pgMar w:left="540" w:top="274" w:right="539" w:bottom="1440" w:gutter="0" w:footer="0" w:header="0"/>
        </w:sectPr>
      </w:pPr>
    </w:p>
    <w:bookmarkStart w:id="40" w:name="page41"/>
    <w:bookmarkEnd w:id="4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beneficiary or any transferee or assignee of any Letter of Credit or the proceeds thereof (or any Persons for whom any such transferee may be acting), any Issuing Lender or any of its Affiliates or any Lender or any other Person, whether in connection with this Agreement, the transactions contemplated herein or any unrelated transaction (including any underlying transaction between the Borrower or Subsidiaries of the Borrower and the beneficiary for which any Letter of Credit was procured);</w:t>
      </w:r>
    </w:p>
    <w:p>
      <w:pPr>
        <w:spacing w:after="0" w:line="79" w:lineRule="exact"/>
        <w:rPr>
          <w:sz w:val="20"/>
          <w:szCs w:val="20"/>
          <w:color w:val="auto"/>
        </w:rPr>
      </w:pPr>
    </w:p>
    <w:p>
      <w:pPr>
        <w:jc w:val="both"/>
        <w:ind w:right="60" w:firstLine="428"/>
        <w:spacing w:after="0" w:line="302" w:lineRule="auto"/>
        <w:tabs>
          <w:tab w:leader="none" w:pos="6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an Issuing Lender or any of its Affiliates has been notified thereof;</w:t>
      </w:r>
    </w:p>
    <w:p>
      <w:pPr>
        <w:spacing w:after="0" w:line="46" w:lineRule="exact"/>
        <w:rPr>
          <w:rFonts w:ascii="Arial" w:cs="Arial" w:eastAsia="Arial" w:hAnsi="Arial"/>
          <w:sz w:val="16"/>
          <w:szCs w:val="16"/>
          <w:color w:val="auto"/>
        </w:rPr>
      </w:pPr>
    </w:p>
    <w:p>
      <w:pPr>
        <w:ind w:right="100" w:firstLine="428"/>
        <w:spacing w:after="0" w:line="277" w:lineRule="auto"/>
        <w:tabs>
          <w:tab w:leader="none" w:pos="7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payment by an Issuing Lender or any of its Affiliates under any Letter of Credit against presentation of a demand, draft or certificate or other document which does not comply with the terms of such Letter of Credit;</w:t>
      </w:r>
    </w:p>
    <w:p>
      <w:pPr>
        <w:spacing w:after="0" w:line="62" w:lineRule="exact"/>
        <w:rPr>
          <w:rFonts w:ascii="Arial" w:cs="Arial" w:eastAsia="Arial" w:hAnsi="Arial"/>
          <w:sz w:val="18"/>
          <w:szCs w:val="18"/>
          <w:color w:val="auto"/>
        </w:rPr>
      </w:pPr>
    </w:p>
    <w:p>
      <w:pPr>
        <w:ind w:right="360" w:firstLine="428"/>
        <w:spacing w:after="0" w:line="264" w:lineRule="auto"/>
        <w:tabs>
          <w:tab w:leader="none" w:pos="7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spacing w:after="0" w:line="73" w:lineRule="exact"/>
        <w:rPr>
          <w:rFonts w:ascii="Arial" w:cs="Arial" w:eastAsia="Arial" w:hAnsi="Arial"/>
          <w:sz w:val="18"/>
          <w:szCs w:val="18"/>
          <w:color w:val="auto"/>
        </w:rPr>
      </w:pPr>
    </w:p>
    <w:p>
      <w:pPr>
        <w:ind w:firstLine="428"/>
        <w:spacing w:after="0" w:line="259" w:lineRule="auto"/>
        <w:tabs>
          <w:tab w:leader="none" w:pos="8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failure by an Issuing Lender or any of its Affiliates to issue any Letter of Credit in the form requested by the Borrower, unless such Issuing Lender has received written notice from the Borrower of such failure within three Business Days after such Issuing Lender shall have furnished the Borrower and the Agent a copy of such Letter of Credit and such error is material and no drawing has been made thereon prior to receipt of such notice;</w:t>
      </w:r>
    </w:p>
    <w:p>
      <w:pPr>
        <w:spacing w:after="0" w:line="78" w:lineRule="exact"/>
        <w:rPr>
          <w:rFonts w:ascii="Arial" w:cs="Arial" w:eastAsia="Arial" w:hAnsi="Arial"/>
          <w:sz w:val="18"/>
          <w:szCs w:val="18"/>
          <w:color w:val="auto"/>
        </w:rPr>
      </w:pPr>
    </w:p>
    <w:p>
      <w:pPr>
        <w:ind w:left="740" w:hanging="312"/>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Material Adverse Change;</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breach of this Agreement or any other Loan Document by any party thereto;</w:t>
      </w:r>
    </w:p>
    <w:p>
      <w:pPr>
        <w:spacing w:after="0" w:line="117" w:lineRule="exact"/>
        <w:rPr>
          <w:rFonts w:ascii="Arial" w:cs="Arial" w:eastAsia="Arial" w:hAnsi="Arial"/>
          <w:sz w:val="18"/>
          <w:szCs w:val="18"/>
          <w:color w:val="auto"/>
        </w:rPr>
      </w:pPr>
    </w:p>
    <w:p>
      <w:pPr>
        <w:ind w:left="740" w:hanging="312"/>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occurrence or continuance of an Insolvency Proceeding with respect to the Borrower;</w:t>
      </w:r>
    </w:p>
    <w:p>
      <w:pPr>
        <w:spacing w:after="0" w:line="117" w:lineRule="exact"/>
        <w:rPr>
          <w:rFonts w:ascii="Arial" w:cs="Arial" w:eastAsia="Arial" w:hAnsi="Arial"/>
          <w:sz w:val="18"/>
          <w:szCs w:val="18"/>
          <w:color w:val="auto"/>
        </w:rPr>
      </w:pPr>
    </w:p>
    <w:p>
      <w:pPr>
        <w:ind w:left="780" w:hanging="352"/>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fact that an Event of Default or a Default shall have occurred and be continuing;</w:t>
      </w:r>
    </w:p>
    <w:p>
      <w:pPr>
        <w:spacing w:after="0" w:line="117" w:lineRule="exact"/>
        <w:rPr>
          <w:rFonts w:ascii="Arial" w:cs="Arial" w:eastAsia="Arial" w:hAnsi="Arial"/>
          <w:sz w:val="18"/>
          <w:szCs w:val="18"/>
          <w:color w:val="auto"/>
        </w:rPr>
      </w:pPr>
    </w:p>
    <w:p>
      <w:pPr>
        <w:ind w:left="840" w:hanging="412"/>
        <w:spacing w:after="0"/>
        <w:tabs>
          <w:tab w:leader="none" w:pos="8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fact that the Termination Date shall have passed or this Agreement or the Commitments hereunder shall have been terminated; and</w:t>
      </w:r>
    </w:p>
    <w:p>
      <w:pPr>
        <w:spacing w:after="0" w:line="140" w:lineRule="exact"/>
        <w:rPr>
          <w:rFonts w:ascii="Arial" w:cs="Arial" w:eastAsia="Arial" w:hAnsi="Arial"/>
          <w:sz w:val="16"/>
          <w:szCs w:val="16"/>
          <w:color w:val="auto"/>
        </w:rPr>
      </w:pPr>
    </w:p>
    <w:p>
      <w:pPr>
        <w:ind w:left="820" w:hanging="392"/>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60"/>
          </w:cols>
          <w:pgMar w:left="880" w:top="274" w:right="459" w:bottom="1440" w:gutter="0" w:footer="0" w:header="0"/>
        </w:sectPr>
      </w:pPr>
    </w:p>
    <w:bookmarkStart w:id="41" w:name="page42"/>
    <w:bookmarkEnd w:id="41"/>
    <w:p>
      <w:pPr>
        <w:ind w:right="140" w:firstLine="441"/>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furtherance of the foregoing and without limiting the generality thereof, the parties agree that, with respect to documents presented which appear on their face to be in substantial compliance with the terms of a Letter of Credit, the relevant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46" w:lineRule="exact"/>
        <w:rPr>
          <w:sz w:val="20"/>
          <w:szCs w:val="20"/>
          <w:color w:val="auto"/>
        </w:rPr>
      </w:pPr>
    </w:p>
    <w:p>
      <w:pPr>
        <w:ind w:firstLine="885"/>
        <w:spacing w:after="0" w:line="283" w:lineRule="auto"/>
        <w:tabs>
          <w:tab w:leader="none" w:pos="1136"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Liability for Acts and Omissions</w:t>
      </w:r>
      <w:r>
        <w:rPr>
          <w:rFonts w:ascii="Arial" w:cs="Arial" w:eastAsia="Arial" w:hAnsi="Arial"/>
          <w:sz w:val="16"/>
          <w:szCs w:val="16"/>
          <w:color w:val="auto"/>
        </w:rPr>
        <w:t>. As between the Borrower and the Issuing Lenders, or the Issuing Lenders’ Affiliates, the Borrower assumes all risks of the acts and omissions of, or misuse of the Letters of Credit by, the respective beneficiaries of such Letters of Credit. In furtherance and not in limitation of the foregoing, the Issuing Lenders shall not be responsible for any of the following, including any losses or damages to the Borrower or other Person or property relating therefrom: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an Issuing Lender or its Affiliates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the Borrower against any beneficiary of such Letter of Credit, or any such transferee, or any dispute between or among the Borrower and any beneficiary of any Letter of Credit or any such transferee; (iv) errors, omissions, interruptions or delays in transmission or delivery of any messages, by mail, cable, telegraph, telex or otherwise, whether or not they be in cipher; (v) errors in interpretation of technical terms;</w:t>
      </w:r>
    </w:p>
    <w:p>
      <w:pPr>
        <w:spacing w:after="0" w:line="3" w:lineRule="exact"/>
        <w:rPr>
          <w:rFonts w:ascii="Arial" w:cs="Arial" w:eastAsia="Arial" w:hAnsi="Arial"/>
          <w:sz w:val="16"/>
          <w:szCs w:val="16"/>
          <w:color w:val="auto"/>
        </w:rPr>
      </w:pPr>
    </w:p>
    <w:p>
      <w:pPr>
        <w:ind w:right="140" w:firstLine="4"/>
        <w:spacing w:after="0" w:line="281" w:lineRule="auto"/>
        <w:tabs>
          <w:tab w:leader="none" w:pos="3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w:t>
      </w:r>
    </w:p>
    <w:p>
      <w:pPr>
        <w:spacing w:after="0" w:line="1" w:lineRule="exact"/>
        <w:rPr>
          <w:rFonts w:ascii="Arial" w:cs="Arial" w:eastAsia="Arial" w:hAnsi="Arial"/>
          <w:sz w:val="16"/>
          <w:szCs w:val="16"/>
          <w:color w:val="auto"/>
        </w:rPr>
      </w:pPr>
    </w:p>
    <w:p>
      <w:pPr>
        <w:ind w:right="40" w:firstLine="4"/>
        <w:spacing w:after="0" w:line="290" w:lineRule="auto"/>
        <w:tabs>
          <w:tab w:leader="none" w:pos="4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consequences arising from causes beyond the control of an Issuing Lender or its Affiliates, as applicable, including any act or omission of any Official Body, and none of the above shall affect or impair, or prevent the vesting of, any of the Issuing Lenders’ or their Affiliates’ rights or powers hereunder. Nothing in the preceding sentence shall relieve an Issuing Lender from liability for such Issuing Lender’s gross negligence or willful misconduct in connection with actions or omissions described in such clauses (i) through (viii) of such sentence. In no event shall an Issuing Lender or its Affiliates be liable to the Borrower for any indirect, consequential, incidental, punitive, exemplary or special damages or expenses (including without limitation attorneys’ fees), or for any damages resulting from any change in the value of any property relating to a Letter of Credit.</w:t>
      </w:r>
    </w:p>
    <w:p>
      <w:pPr>
        <w:spacing w:after="0" w:line="164" w:lineRule="exact"/>
        <w:rPr>
          <w:sz w:val="20"/>
          <w:szCs w:val="20"/>
          <w:color w:val="auto"/>
        </w:rPr>
      </w:pPr>
    </w:p>
    <w:p>
      <w:pPr>
        <w:ind w:right="180" w:firstLine="881"/>
        <w:spacing w:after="0" w:line="279" w:lineRule="auto"/>
        <w:rPr>
          <w:sz w:val="20"/>
          <w:szCs w:val="20"/>
          <w:color w:val="auto"/>
        </w:rPr>
      </w:pPr>
      <w:r>
        <w:rPr>
          <w:rFonts w:ascii="Arial" w:cs="Arial" w:eastAsia="Arial" w:hAnsi="Arial"/>
          <w:sz w:val="17"/>
          <w:szCs w:val="17"/>
          <w:color w:val="auto"/>
        </w:rPr>
        <w:t>Without limiting the generality of the foregoing, each Issuing Lender and each of its Affiliates (i) may rely on any oral or other communication believed in good faith by such Issuing Lender or such Affiliate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42" w:name="page43"/>
    <w:bookmarkEnd w:id="42"/>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dishonor was pursuant to a court order, to settle or compromise any claim of wrongful dishonor, or otherwise, and shall be entitled to reimbursement to the same extent as if such presentation had initially been honored, together with any interest paid by such Issuing Lender or its Affiliate;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such Issuing Lender or its Affiliate in any way related to any order issued at the applicant’s request to an air carrier, a letter of guarantee or of indemnity issued to a carrier or any similar document (each an “</w:t>
      </w:r>
      <w:r>
        <w:rPr>
          <w:rFonts w:ascii="Arial" w:cs="Arial" w:eastAsia="Arial" w:hAnsi="Arial"/>
          <w:sz w:val="16"/>
          <w:szCs w:val="16"/>
          <w:u w:val="single" w:color="auto"/>
          <w:color w:val="auto"/>
        </w:rPr>
        <w:t>Order</w:t>
      </w:r>
      <w:r>
        <w:rPr>
          <w:rFonts w:ascii="Arial" w:cs="Arial" w:eastAsia="Arial" w:hAnsi="Arial"/>
          <w:sz w:val="16"/>
          <w:szCs w:val="16"/>
          <w:color w:val="auto"/>
        </w:rPr>
        <w:t>”) and honor any drawing in connection with any Letter of Credit that is the subject of such Order, notwithstanding that any drafts or other documents presented in connection with such Letter of Credit fail to conform in any way with such Letter of Credit.</w:t>
      </w:r>
    </w:p>
    <w:p>
      <w:pPr>
        <w:spacing w:after="0" w:line="167" w:lineRule="exact"/>
        <w:rPr>
          <w:sz w:val="20"/>
          <w:szCs w:val="20"/>
          <w:color w:val="auto"/>
        </w:rPr>
      </w:pPr>
    </w:p>
    <w:p>
      <w:pPr>
        <w:ind w:right="140" w:firstLine="881"/>
        <w:spacing w:after="0" w:line="286" w:lineRule="auto"/>
        <w:rPr>
          <w:sz w:val="20"/>
          <w:szCs w:val="20"/>
          <w:color w:val="auto"/>
        </w:rPr>
      </w:pPr>
      <w:r>
        <w:rPr>
          <w:rFonts w:ascii="Arial" w:cs="Arial" w:eastAsia="Arial" w:hAnsi="Arial"/>
          <w:sz w:val="17"/>
          <w:szCs w:val="17"/>
          <w:color w:val="auto"/>
        </w:rPr>
        <w:t>In furtherance and extension and not in limitation of the specific provisions set forth above, any action taken or omitted by an Issuing Lender or its Affiliates under or in connection with the Letters of Credit issued by it or any documents and certificates delivered thereunder, if taken or omitted in good faith, shall not put such Issuing Lender or its Affiliates under any resulting liability to the Borrower or any Lender.</w:t>
      </w:r>
    </w:p>
    <w:p>
      <w:pPr>
        <w:spacing w:after="0" w:line="57" w:lineRule="exact"/>
        <w:rPr>
          <w:sz w:val="20"/>
          <w:szCs w:val="20"/>
          <w:color w:val="auto"/>
        </w:rPr>
      </w:pPr>
    </w:p>
    <w:p>
      <w:pPr>
        <w:ind w:firstLine="885"/>
        <w:spacing w:after="0" w:line="279" w:lineRule="auto"/>
        <w:tabs>
          <w:tab w:leader="none" w:pos="1096"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Issuing Lender Reporting Requirements</w:t>
      </w:r>
      <w:r>
        <w:rPr>
          <w:rFonts w:ascii="Arial" w:cs="Arial" w:eastAsia="Arial" w:hAnsi="Arial"/>
          <w:sz w:val="17"/>
          <w:szCs w:val="17"/>
          <w:color w:val="auto"/>
        </w:rPr>
        <w:t>. Each Issuing Lender shall, on the first Business Day of each month, provide to the Agent and the Borrower a schedule of the Letters of Credit issued by it, in form and substance satisfactory to the Agent, showing the date of issuance of each Letter of Credit, the account party, the original face amount (if any), and the expiration date of any Letter of Credit outstanding at any time during the preceding month, and any other information relating to such Letter of Credit that the Agent may request.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17" w:lineRule="exact"/>
        <w:rPr>
          <w:sz w:val="20"/>
          <w:szCs w:val="20"/>
          <w:color w:val="auto"/>
        </w:rPr>
      </w:pPr>
    </w:p>
    <w:p>
      <w:pPr>
        <w:ind w:right="40" w:firstLine="885"/>
        <w:spacing w:after="0" w:line="293" w:lineRule="auto"/>
        <w:tabs>
          <w:tab w:leader="none" w:pos="1126"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Commitment Fees</w:t>
      </w:r>
      <w:r>
        <w:rPr>
          <w:rFonts w:ascii="Arial" w:cs="Arial" w:eastAsia="Arial" w:hAnsi="Arial"/>
          <w:sz w:val="16"/>
          <w:szCs w:val="16"/>
          <w:color w:val="auto"/>
        </w:rPr>
        <w:t>. Accruing from the date hereof until the Termination Date, the Borrower agrees to pay to the Agent for the account of each Lender according to its Ratable Share, a nonrefundable commitment fee (collectively, the “</w:t>
      </w:r>
      <w:r>
        <w:rPr>
          <w:rFonts w:ascii="Arial" w:cs="Arial" w:eastAsia="Arial" w:hAnsi="Arial"/>
          <w:sz w:val="16"/>
          <w:szCs w:val="16"/>
          <w:u w:val="single" w:color="auto"/>
          <w:color w:val="auto"/>
        </w:rPr>
        <w:t>Commitment Fees</w:t>
      </w:r>
      <w:r>
        <w:rPr>
          <w:rFonts w:ascii="Arial" w:cs="Arial" w:eastAsia="Arial" w:hAnsi="Arial"/>
          <w:sz w:val="16"/>
          <w:szCs w:val="16"/>
          <w:color w:val="auto"/>
        </w:rPr>
        <w:t>”) equal to the Applicable Commitment Fee Percentage (computed on the basis of a year of 360 days and actual days elapsed) multiplied by the average daily difference between the amount of (i) the Commitments (for purposes of this computation, PNC’s Swing Line Advances shall be deemed to be borrowed amounts under PNC’s Commitment and not the Commitment of any other Lender) and (ii) the Revolving Facility Usage. All Commitment Fees shall be payable in arrears quarterly on the first Business Day of each April, July, October and January, commencing July 1, 2019, and on the Termination Date.</w:t>
      </w:r>
    </w:p>
    <w:p>
      <w:pPr>
        <w:spacing w:after="0" w:line="56" w:lineRule="exact"/>
        <w:rPr>
          <w:rFonts w:ascii="Arial" w:cs="Arial" w:eastAsia="Arial" w:hAnsi="Arial"/>
          <w:sz w:val="16"/>
          <w:szCs w:val="16"/>
          <w:color w:val="auto"/>
        </w:rPr>
      </w:pPr>
    </w:p>
    <w:p>
      <w:pPr>
        <w:ind w:left="1140" w:hanging="255"/>
        <w:spacing w:after="0"/>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Agent’s Fees</w:t>
      </w:r>
      <w:r>
        <w:rPr>
          <w:rFonts w:ascii="Arial" w:cs="Arial" w:eastAsia="Arial" w:hAnsi="Arial"/>
          <w:sz w:val="16"/>
          <w:szCs w:val="16"/>
          <w:color w:val="auto"/>
        </w:rPr>
        <w:t>. The Borrower shall pay to the Agent the administrative and other fees at the times and in the amounts agreed upon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Fee Letter.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3" w:name="page44"/>
    <w:bookmarkEnd w:id="43"/>
    <w:p>
      <w:pPr>
        <w:ind w:firstLine="44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2.06 </w:t>
      </w:r>
      <w:r>
        <w:rPr>
          <w:rFonts w:ascii="Arial" w:cs="Arial" w:eastAsia="Arial" w:hAnsi="Arial"/>
          <w:sz w:val="17"/>
          <w:szCs w:val="17"/>
          <w:u w:val="single" w:color="auto"/>
          <w:color w:val="auto"/>
        </w:rPr>
        <w:t>Optional Termination or Reduction of the Commitments</w:t>
      </w:r>
      <w:r>
        <w:rPr>
          <w:rFonts w:ascii="Arial" w:cs="Arial" w:eastAsia="Arial" w:hAnsi="Arial"/>
          <w:sz w:val="17"/>
          <w:szCs w:val="17"/>
          <w:color w:val="auto"/>
        </w:rPr>
        <w:t xml:space="preserve">. The Borrower shall have the right, upon at least three Business Days’ notice to the Agent, to terminate in whole or permanently reduce ratably in part the unused portions of the respective Commitments of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partial reduction shall be in the aggregate amount of $5,000,000 or an integral multiple of $1,000,000 in excess thereof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such reduction or termination shall be accompanied by prepayment of the Revolving Credit Advances, Swing Line Advances, Reimbursement Obligations, Letter of Credit Borrowings and/or cash collateral with respect to any outstanding Letters of Credit, as the case may be, together with accrued and unpaid Commitment Fees, and the full amount of interest accrued on the principal sum to be prepaid (and all amounts referred to in Section 8.04(c)) to the extent necessary to cause the aggregate Revolving Facility Usage after giving effect to such prepayments to be equal to or less than the Commitments as so reduced or terminated. Any notice to reduce the Commitments under this Section 2.06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termination of the Commitments in full delivered by the Borrower may state that such notice is conditioned upon the effectiveness of other credit facilities or debt or equity issuances, in which case such notice may be revoked by the Borrower (by notice to the Agent on or prior to the specified effective date) if such condition is not satisfied.</w:t>
      </w:r>
    </w:p>
    <w:p>
      <w:pPr>
        <w:spacing w:after="0" w:line="183"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Repayment of Advances</w:t>
      </w:r>
      <w:r>
        <w:rPr>
          <w:rFonts w:ascii="Arial" w:cs="Arial" w:eastAsia="Arial" w:hAnsi="Arial"/>
          <w:sz w:val="18"/>
          <w:szCs w:val="18"/>
          <w:color w:val="auto"/>
        </w:rPr>
        <w:t>. The Borrower shall repay to the Agent for the ratable account of the Lenders on the Termination Date the aggregate principal amount of the Revolving Credit Advances and Swing Line Advances then outstanding.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Interest on Revolving Credit Advances</w:t>
      </w:r>
      <w:r>
        <w:rPr>
          <w:rFonts w:ascii="Arial" w:cs="Arial" w:eastAsia="Arial" w:hAnsi="Arial"/>
          <w:sz w:val="18"/>
          <w:szCs w:val="18"/>
          <w:color w:val="auto"/>
        </w:rPr>
        <w:t>.</w:t>
      </w:r>
    </w:p>
    <w:p>
      <w:pPr>
        <w:spacing w:after="0" w:line="117" w:lineRule="exact"/>
        <w:rPr>
          <w:sz w:val="20"/>
          <w:szCs w:val="20"/>
          <w:color w:val="auto"/>
        </w:rPr>
      </w:pPr>
    </w:p>
    <w:p>
      <w:pPr>
        <w:ind w:right="300" w:firstLine="885"/>
        <w:spacing w:after="0" w:line="308" w:lineRule="auto"/>
        <w:tabs>
          <w:tab w:leader="none" w:pos="1126"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Scheduled Interest</w:t>
      </w:r>
      <w:r>
        <w:rPr>
          <w:rFonts w:ascii="Arial" w:cs="Arial" w:eastAsia="Arial" w:hAnsi="Arial"/>
          <w:sz w:val="17"/>
          <w:szCs w:val="17"/>
          <w:color w:val="auto"/>
        </w:rPr>
        <w:t>. The Borrower shall pay interest on the unpaid principal amount of each Revolving Credit Advance owing to each Lender from the date of such Revolving Credit Advance until such principal amount shall be paid in full, at the following rates per annum:</w:t>
      </w:r>
    </w:p>
    <w:p>
      <w:pPr>
        <w:spacing w:after="0" w:line="38" w:lineRule="exact"/>
        <w:rPr>
          <w:rFonts w:ascii="Arial" w:cs="Arial" w:eastAsia="Arial" w:hAnsi="Arial"/>
          <w:sz w:val="17"/>
          <w:szCs w:val="17"/>
          <w:color w:val="auto"/>
        </w:rPr>
      </w:pPr>
    </w:p>
    <w:p>
      <w:pPr>
        <w:ind w:left="440" w:right="60" w:firstLine="851"/>
        <w:spacing w:after="0" w:line="259" w:lineRule="auto"/>
        <w:tabs>
          <w:tab w:leader="none" w:pos="1501"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Base Rate Advances</w:t>
      </w:r>
      <w:r>
        <w:rPr>
          <w:rFonts w:ascii="Arial" w:cs="Arial" w:eastAsia="Arial" w:hAnsi="Arial"/>
          <w:sz w:val="18"/>
          <w:szCs w:val="18"/>
          <w:color w:val="auto"/>
        </w:rPr>
        <w:t>. During such periods as such Revolving Credit Advance is a Base Rate Advance, a rate per annum equal at all times to the sum of (x) the Base Rate in effect from time to time plus (y) the Applicable Margin in effect from time to time, payable in arrears quarterly on the first Business Day of each April, July, October and January, commencing July 1, 2019, during such periods and on the date such Base Rate Advance shall be Converted or paid in full.</w:t>
      </w:r>
    </w:p>
    <w:p>
      <w:pPr>
        <w:spacing w:after="0" w:line="78" w:lineRule="exact"/>
        <w:rPr>
          <w:rFonts w:ascii="Arial" w:cs="Arial" w:eastAsia="Arial" w:hAnsi="Arial"/>
          <w:sz w:val="18"/>
          <w:szCs w:val="18"/>
          <w:color w:val="auto"/>
        </w:rPr>
      </w:pPr>
    </w:p>
    <w:p>
      <w:pPr>
        <w:ind w:left="440" w:right="20" w:firstLine="851"/>
        <w:spacing w:after="0" w:line="297" w:lineRule="auto"/>
        <w:tabs>
          <w:tab w:leader="none" w:pos="1551"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Eurodollar Rate Advances</w:t>
      </w:r>
      <w:r>
        <w:rPr>
          <w:rFonts w:ascii="Arial" w:cs="Arial" w:eastAsia="Arial" w:hAnsi="Arial"/>
          <w:sz w:val="16"/>
          <w:szCs w:val="16"/>
          <w:color w:val="auto"/>
        </w:rPr>
        <w:t>. During such periods as such Revolving Credit Advance is a Eurodollar Rate Advance, a rate per annum equal at all times during each Interest Period for such Revolving Credit Advance to the sum of (x) the Eurodollar Rate for such Interest Period for such Revolving Credit Advance plus (y) the Applicable Margin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Eurodollar Rate Advance shall be Converted or paid in full.</w:t>
      </w:r>
    </w:p>
    <w:p>
      <w:pPr>
        <w:spacing w:after="0" w:line="50" w:lineRule="exact"/>
        <w:rPr>
          <w:rFonts w:ascii="Arial" w:cs="Arial" w:eastAsia="Arial" w:hAnsi="Arial"/>
          <w:sz w:val="16"/>
          <w:szCs w:val="16"/>
          <w:color w:val="auto"/>
        </w:rPr>
      </w:pPr>
    </w:p>
    <w:p>
      <w:pPr>
        <w:ind w:right="260" w:firstLine="885"/>
        <w:spacing w:after="0" w:line="264" w:lineRule="auto"/>
        <w:tabs>
          <w:tab w:leader="none" w:pos="113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Default Interest</w:t>
      </w:r>
      <w:r>
        <w:rPr>
          <w:rFonts w:ascii="Arial" w:cs="Arial" w:eastAsia="Arial" w:hAnsi="Arial"/>
          <w:sz w:val="18"/>
          <w:szCs w:val="18"/>
          <w:color w:val="auto"/>
        </w:rPr>
        <w:t>. Upon the occurrence and during the continuance of an Event of Default, the Agent may, and upon the request of the Required Lenders shall, require the Borrower to pay interest (“</w:t>
      </w:r>
      <w:r>
        <w:rPr>
          <w:rFonts w:ascii="Arial" w:cs="Arial" w:eastAsia="Arial" w:hAnsi="Arial"/>
          <w:sz w:val="18"/>
          <w:szCs w:val="18"/>
          <w:u w:val="single" w:color="auto"/>
          <w:color w:val="auto"/>
        </w:rPr>
        <w:t>Default Interest on Revolving Credit Advances and Other Amounts</w:t>
      </w:r>
      <w:r>
        <w:rPr>
          <w:rFonts w:ascii="Arial" w:cs="Arial" w:eastAsia="Arial" w:hAnsi="Arial"/>
          <w:sz w:val="18"/>
          <w:szCs w:val="18"/>
          <w:color w:val="auto"/>
        </w:rPr>
        <w:t>”) on (i) the unpaid principal amount of each Revolving Credit Advance owing to each Lender,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44" w:name="page45"/>
    <w:bookmarkEnd w:id="44"/>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payable in arrears on the dates referred to in clause (a)(i) or (a)(ii) above, as the case may be, at a rate per annum equal at all times to 2% per annum above the rate per annum required to be paid on such Revolving Credit Advance pursuant to clause (a)(i) or (a)(ii) above and (ii) to the fullest extent permitted by law, the amount of any interest, fee or other amount payable hereunder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on Base Rate Advances pursuant to clause (a)(i)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following acceleration of the Advances pursuant to Section 6.01, Default Interest on Revolving Credit Advances and Other Amounts shall accrue and be payable hereunder whether or not previously required by the Agent and shall be paid in full on demand.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Interest Rate Determination</w:t>
      </w:r>
      <w:r>
        <w:rPr>
          <w:rFonts w:ascii="Arial" w:cs="Arial" w:eastAsia="Arial" w:hAnsi="Arial"/>
          <w:sz w:val="18"/>
          <w:szCs w:val="18"/>
          <w:color w:val="auto"/>
        </w:rPr>
        <w:t>.</w:t>
      </w:r>
    </w:p>
    <w:p>
      <w:pPr>
        <w:spacing w:after="0" w:line="117" w:lineRule="exact"/>
        <w:rPr>
          <w:sz w:val="20"/>
          <w:szCs w:val="20"/>
          <w:color w:val="auto"/>
        </w:rPr>
      </w:pPr>
    </w:p>
    <w:p>
      <w:pPr>
        <w:ind w:right="60" w:firstLine="885"/>
        <w:spacing w:after="0" w:line="277" w:lineRule="auto"/>
        <w:tabs>
          <w:tab w:leader="none" w:pos="11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Agent shall give prompt notice to the Borrower and the Lenders of the applicable interest rate determined by the Agent for purposes of Section 2.08(a)(i) or (ii).</w:t>
      </w:r>
    </w:p>
    <w:p>
      <w:pPr>
        <w:spacing w:after="0" w:line="62" w:lineRule="exact"/>
        <w:rPr>
          <w:rFonts w:ascii="Arial" w:cs="Arial" w:eastAsia="Arial" w:hAnsi="Arial"/>
          <w:sz w:val="18"/>
          <w:szCs w:val="18"/>
          <w:color w:val="auto"/>
        </w:rPr>
      </w:pPr>
    </w:p>
    <w:p>
      <w:pPr>
        <w:ind w:right="60" w:firstLine="885"/>
        <w:spacing w:after="0" w:line="273" w:lineRule="auto"/>
        <w:tabs>
          <w:tab w:leader="none" w:pos="11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with respect to any Eurodollar Rate Advances, the Required Lenders notify the Agent that the Eurodollar Rate for any Interest Period for such Advances will not adequately reflect the cost to such Required Lenders of making, funding or maintaining their respective Eurodollar Rate Advances for such Interest Period, the Agent shall forthwith so notify the Borrower and the Lenders, whereupon (i) each Eurodollar Rate Advance will automatically, on the last day of the then existing Interest Period therefor, Convert into a Base Rate Advance, and (ii) the obligation of the Lenders to make, or to Convert Base Rate Advances into, Eurodollar Rate Advances shall be suspended until the Agent shall notify the Borrower and the Lenders that the circumstances causing such suspension no longer exist.</w:t>
      </w:r>
    </w:p>
    <w:p>
      <w:pPr>
        <w:spacing w:after="0" w:line="70" w:lineRule="exact"/>
        <w:rPr>
          <w:rFonts w:ascii="Arial" w:cs="Arial" w:eastAsia="Arial" w:hAnsi="Arial"/>
          <w:sz w:val="17"/>
          <w:szCs w:val="17"/>
          <w:color w:val="auto"/>
        </w:rPr>
      </w:pPr>
    </w:p>
    <w:p>
      <w:pPr>
        <w:ind w:right="360" w:firstLine="885"/>
        <w:spacing w:after="0" w:line="286" w:lineRule="auto"/>
        <w:tabs>
          <w:tab w:leader="none" w:pos="1126"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Borrower shall fail to select the duration of any Interest Period for any Eurodollar Rate Advances in accordance with the provisions contained in the definition of “</w:t>
      </w:r>
      <w:r>
        <w:rPr>
          <w:rFonts w:ascii="Arial" w:cs="Arial" w:eastAsia="Arial" w:hAnsi="Arial"/>
          <w:sz w:val="17"/>
          <w:szCs w:val="17"/>
          <w:u w:val="single" w:color="auto"/>
          <w:color w:val="auto"/>
        </w:rPr>
        <w:t>Interest Period</w:t>
      </w:r>
      <w:r>
        <w:rPr>
          <w:rFonts w:ascii="Arial" w:cs="Arial" w:eastAsia="Arial" w:hAnsi="Arial"/>
          <w:sz w:val="17"/>
          <w:szCs w:val="17"/>
          <w:color w:val="auto"/>
        </w:rPr>
        <w:t>” in Section 1.01, the Agent will forthwith so notify the Borrower and the Lenders and such Advances will automatically, on the last day of the then existing Interest Period therefor, Convert into Base Rate Advances.</w:t>
      </w:r>
    </w:p>
    <w:p>
      <w:pPr>
        <w:spacing w:after="0" w:line="57" w:lineRule="exact"/>
        <w:rPr>
          <w:rFonts w:ascii="Arial" w:cs="Arial" w:eastAsia="Arial" w:hAnsi="Arial"/>
          <w:sz w:val="17"/>
          <w:szCs w:val="17"/>
          <w:color w:val="auto"/>
        </w:rPr>
      </w:pPr>
    </w:p>
    <w:p>
      <w:pPr>
        <w:ind w:right="20" w:firstLine="885"/>
        <w:spacing w:after="0" w:line="342" w:lineRule="auto"/>
        <w:tabs>
          <w:tab w:leader="none" w:pos="1136"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the date on which the aggregate unpaid principal amount of Eurodollar Rate Advances comprising any Revolving Credit Borrowing shall be reduced, by payment or prepayment or otherwise, to less than $5,000,000, such Advances shall automatically Convert into Base Rate Advances.</w:t>
      </w:r>
    </w:p>
    <w:p>
      <w:pPr>
        <w:spacing w:after="0" w:line="15" w:lineRule="exact"/>
        <w:rPr>
          <w:rFonts w:ascii="Arial" w:cs="Arial" w:eastAsia="Arial" w:hAnsi="Arial"/>
          <w:sz w:val="16"/>
          <w:szCs w:val="16"/>
          <w:color w:val="auto"/>
        </w:rPr>
      </w:pPr>
    </w:p>
    <w:p>
      <w:pPr>
        <w:ind w:firstLine="885"/>
        <w:spacing w:after="0" w:line="259" w:lineRule="auto"/>
        <w:tabs>
          <w:tab w:leader="none" w:pos="11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Event of Default under Section 6.01(e) or, at the discretion of the Agent or upon the request of the Required Lenders upon the occurrence and during the continuance of any other Event of Default, (i) each Eurodollar Rate Advance will automatically, on the last day of the then existing Interest Period therefor, Convert into a Base Rate Advance and (ii) the obligation of the Lenders to make, or to Convert Advances into, Eurodollar Rate Advances shall be suspended.</w:t>
      </w:r>
    </w:p>
    <w:p>
      <w:pPr>
        <w:spacing w:after="0" w:line="78" w:lineRule="exact"/>
        <w:rPr>
          <w:rFonts w:ascii="Arial" w:cs="Arial" w:eastAsia="Arial" w:hAnsi="Arial"/>
          <w:sz w:val="18"/>
          <w:szCs w:val="18"/>
          <w:color w:val="auto"/>
        </w:rPr>
      </w:pPr>
    </w:p>
    <w:p>
      <w:pPr>
        <w:ind w:right="520" w:firstLine="885"/>
        <w:spacing w:after="0" w:line="264" w:lineRule="auto"/>
        <w:tabs>
          <w:tab w:leader="none" w:pos="1106"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on any date on which a Eurodollar Rate would otherwise be determined, the Agent shall have determined that: (i) adequate and reasonable means do not exist for ascertaining such Eurodollar Rate, or (ii) a contingency has occurred which materially and adversely affects the London interbank eurodollar market relating to the Eurodollar Rate,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45" w:name="page46"/>
    <w:bookmarkEnd w:id="45"/>
    <w:p>
      <w:pPr>
        <w:ind w:left="1440" w:right="740" w:firstLine="380"/>
        <w:spacing w:after="0" w:line="277" w:lineRule="auto"/>
        <w:tabs>
          <w:tab w:leader="none" w:pos="2118" w:val="left"/>
        </w:tabs>
        <w:numPr>
          <w:ilvl w:val="2"/>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Agent shall forthwith notify the Borrower and the Lenders that the interest rate cannot be determined for such Eurodollar Rate Advances,</w:t>
      </w:r>
    </w:p>
    <w:p>
      <w:pPr>
        <w:spacing w:after="0" w:line="62" w:lineRule="exact"/>
        <w:rPr>
          <w:rFonts w:ascii="Arial" w:cs="Arial" w:eastAsia="Arial" w:hAnsi="Arial"/>
          <w:sz w:val="18"/>
          <w:szCs w:val="18"/>
          <w:color w:val="auto"/>
        </w:rPr>
      </w:pPr>
    </w:p>
    <w:p>
      <w:pPr>
        <w:ind w:left="1440" w:right="20" w:firstLine="380"/>
        <w:spacing w:after="0" w:line="264" w:lineRule="auto"/>
        <w:tabs>
          <w:tab w:leader="none" w:pos="2108" w:val="left"/>
        </w:tabs>
        <w:numPr>
          <w:ilvl w:val="2"/>
          <w:numId w:val="39"/>
        </w:numPr>
        <w:rPr>
          <w:rFonts w:ascii="Arial" w:cs="Arial" w:eastAsia="Arial" w:hAnsi="Arial"/>
          <w:sz w:val="18"/>
          <w:szCs w:val="18"/>
          <w:color w:val="auto"/>
        </w:rPr>
      </w:pPr>
      <w:r>
        <w:rPr>
          <w:rFonts w:ascii="Arial" w:cs="Arial" w:eastAsia="Arial" w:hAnsi="Arial"/>
          <w:sz w:val="18"/>
          <w:szCs w:val="18"/>
          <w:color w:val="auto"/>
        </w:rPr>
        <w:t>with respect to Eurodollar Rate Advances, each such Advance will automatically, on the last day of the then existing Interest Period therefor, Convert into a Base Rate Advance (or if such Advance is then a Base Rate Advance, will continue as a Base Rate Advance), and</w:t>
      </w:r>
    </w:p>
    <w:p>
      <w:pPr>
        <w:spacing w:after="0" w:line="73" w:lineRule="exact"/>
        <w:rPr>
          <w:rFonts w:ascii="Arial" w:cs="Arial" w:eastAsia="Arial" w:hAnsi="Arial"/>
          <w:sz w:val="18"/>
          <w:szCs w:val="18"/>
          <w:color w:val="auto"/>
        </w:rPr>
      </w:pPr>
    </w:p>
    <w:p>
      <w:pPr>
        <w:ind w:left="1440" w:right="80" w:firstLine="380"/>
        <w:spacing w:after="0" w:line="264" w:lineRule="auto"/>
        <w:tabs>
          <w:tab w:leader="none" w:pos="2108"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obligation of the Lenders to make Eurodollar Rate Advances or to Convert Revolving Credit Advances into Eurodollar Rate Advances shall be suspended until the Agent shall notify the Borrower and the Lenders that the circumstances causing such suspension no longer exist.</w:t>
      </w:r>
    </w:p>
    <w:p>
      <w:pPr>
        <w:spacing w:after="0" w:line="73" w:lineRule="exact"/>
        <w:rPr>
          <w:rFonts w:ascii="Arial" w:cs="Arial" w:eastAsia="Arial" w:hAnsi="Arial"/>
          <w:sz w:val="18"/>
          <w:szCs w:val="18"/>
          <w:color w:val="auto"/>
        </w:rPr>
      </w:pPr>
    </w:p>
    <w:p>
      <w:pPr>
        <w:ind w:right="80" w:firstLine="885"/>
        <w:spacing w:after="0" w:line="270" w:lineRule="auto"/>
        <w:tabs>
          <w:tab w:leader="none" w:pos="1136"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Notwithstanding anything herein to the contrary, if the Agent determines (which determination shall be final and conclusive, absent manifest error) that either (A)(I) the circumstances set forth in Section 2.09(f) have arisen and are unlikely to be temporary, or (II) the circumstances set forth in Section 2.09(f) have not arisen but the applicable supervisor or administrator (if any) of the Eurodollar Rate or an Official Body having jurisdiction over the Agent has made a public statement identifying the specific date after which the Eurodollar Rate shall no longer be used for determining interest rates for loans in Dollars (either such date, a “</w:t>
      </w:r>
      <w:r>
        <w:rPr>
          <w:rFonts w:ascii="Arial" w:cs="Arial" w:eastAsia="Arial" w:hAnsi="Arial"/>
          <w:sz w:val="17"/>
          <w:szCs w:val="17"/>
          <w:u w:val="single" w:color="auto"/>
          <w:color w:val="auto"/>
        </w:rPr>
        <w:t>Eurodollar Rate Termination Date</w:t>
      </w:r>
      <w:r>
        <w:rPr>
          <w:rFonts w:ascii="Arial" w:cs="Arial" w:eastAsia="Arial" w:hAnsi="Arial"/>
          <w:sz w:val="17"/>
          <w:szCs w:val="17"/>
          <w:color w:val="auto"/>
        </w:rPr>
        <w:t>”), or (B) a rate other than the Eurodollar Rate has become a widely recognized benchmark rate for newly originated loans in U.S. Dollars in the U.S. market, then the Agent may (in consultation with the Borrower) choose a replacement index for the Eurodollar Rate and make adjustments to applicable margins and related amendments to this Agreement as referred to below such that, to the extent practicable, the all-in interest rate based on the replacement index will be substantially equivalent to the all-in Eurodollar Rate-based interest rate in effect prior to its replacement.</w:t>
      </w:r>
    </w:p>
    <w:p>
      <w:pPr>
        <w:spacing w:after="0" w:line="73" w:lineRule="exact"/>
        <w:rPr>
          <w:rFonts w:ascii="Arial" w:cs="Arial" w:eastAsia="Arial" w:hAnsi="Arial"/>
          <w:sz w:val="17"/>
          <w:szCs w:val="17"/>
          <w:color w:val="auto"/>
        </w:rPr>
      </w:pPr>
    </w:p>
    <w:p>
      <w:pPr>
        <w:ind w:left="440" w:firstLine="851"/>
        <w:spacing w:after="0" w:line="255" w:lineRule="auto"/>
        <w:tabs>
          <w:tab w:leader="none" w:pos="1551"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Agent and the Borrower shall enter into an amendment to this Agreement to reflect the replacement index, the adjusted margins and such other related amendments as may be appropriate, in the discretion of the Agent, for the implementation and administration of the replacement index-based rate. Notwithstanding anything to the contrary in this Agreement or the other Loan Documents (including, without limitation, Section 8.01), such amendment shall become effective without any further action or consent of any other party to this Agreement at 5:00 p.m. New York City time on the tenth (10th) Business Day after the date a draft of the amendment is provided to the Lenders, unless the Agent receives, on or before such tenth (10th) Business Day, a written notice from the Required Lenders stating that such Lenders object to such amendment.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46" w:name="page47"/>
    <w:bookmarkEnd w:id="46"/>
    <w:p>
      <w:pPr>
        <w:ind w:left="440" w:right="160" w:firstLine="851"/>
        <w:spacing w:after="0" w:line="257" w:lineRule="auto"/>
        <w:tabs>
          <w:tab w:leader="none" w:pos="1601"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Selection of the replacement index, adjustments to the applicable margins, and amendments to this Agreement (A) will be determined with due consideration to the then-current market practices for determining and implementing a rate of interest for newly originated loans in the United States and loans converted from a Eurodollar Rate-based rate to a replacement index-based rate, and (B) may also reflect adjustments to account for (I) the effects of the transition from the Eurodollar Rate to the replacement index and (II) yield- or risk-based differences between the Eurodollar Rate and the replacement index.</w:t>
      </w:r>
    </w:p>
    <w:p>
      <w:pPr>
        <w:spacing w:after="0" w:line="80" w:lineRule="exact"/>
        <w:rPr>
          <w:rFonts w:ascii="Arial" w:cs="Arial" w:eastAsia="Arial" w:hAnsi="Arial"/>
          <w:sz w:val="18"/>
          <w:szCs w:val="18"/>
          <w:color w:val="auto"/>
        </w:rPr>
      </w:pPr>
    </w:p>
    <w:p>
      <w:pPr>
        <w:ind w:left="440" w:firstLine="851"/>
        <w:spacing w:after="0" w:line="273" w:lineRule="auto"/>
        <w:tabs>
          <w:tab w:leader="none" w:pos="1591"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Until an amendment reflecting a new replacement index in accordance with this Section 2.09(g) is effective, each advance, conversion and renewal of a Eurodollar Rate Advance will continue to bear interest with reference to the Eurodollar Rate;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the Agent determines (which determination shall be final and conclusive, absent manifest error) that a Eurodollar Rate Termination Date has occurred, then following the Eurodollar Rate Termination Date, until such time as an amendment reflecting a replacement index and related matters as described above is implemented, (x) all Eurodollar Rate Advances shall automatically be converted to Base Rate Advances and (y) the Daily LIBOR Rate component shall no longer be utilized in determining the Base Rate.</w:t>
      </w:r>
    </w:p>
    <w:p>
      <w:pPr>
        <w:spacing w:after="0" w:line="70" w:lineRule="exact"/>
        <w:rPr>
          <w:rFonts w:ascii="Arial" w:cs="Arial" w:eastAsia="Arial" w:hAnsi="Arial"/>
          <w:sz w:val="17"/>
          <w:szCs w:val="17"/>
          <w:color w:val="auto"/>
        </w:rPr>
      </w:pPr>
    </w:p>
    <w:p>
      <w:pPr>
        <w:ind w:left="440" w:right="240" w:firstLine="851"/>
        <w:spacing w:after="0" w:line="277" w:lineRule="auto"/>
        <w:tabs>
          <w:tab w:leader="none" w:pos="1541"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if at any time the replacement index is less than zero, at such times, such index shall be deemed to be zero for purposes of this Agreement.</w:t>
      </w:r>
    </w:p>
    <w:p>
      <w:pPr>
        <w:spacing w:after="0" w:line="170"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Continuation or Optional Conversion of Revolving Credit Advances</w:t>
      </w:r>
      <w:r>
        <w:rPr>
          <w:rFonts w:ascii="Arial" w:cs="Arial" w:eastAsia="Arial" w:hAnsi="Arial"/>
          <w:sz w:val="16"/>
          <w:szCs w:val="16"/>
          <w:color w:val="auto"/>
        </w:rPr>
        <w:t xml:space="preserve">. The Borrower may on any Business Day, upon notice given to the Agent not later than 1:00 p.m. (Pittsburgh, Pennsylvania time) on the third Business Day prior to the date of the proposed Continuation or Conversion of any Revolving Credit Advances and subject to the provisions of Sections 2.09 and 2.13, (a) continue any Eurodollar Rate Advances as Eurodollar Rate Advances for a new Interest Period or (b) Convert all Revolving Credit Advances of one Type comprising the same Revolving Credit Borrowing into Revolving Credit Advances of the other Type;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any continuation of Eurodollar Rate Advances or Conversion of Eurodollar Rate Advances into Base Rate Advances shall be made only on the last day of an Interest Period for such Eurodollar Rate Advances,</w:t>
      </w:r>
    </w:p>
    <w:p>
      <w:pPr>
        <w:spacing w:after="0" w:line="5" w:lineRule="exact"/>
        <w:rPr>
          <w:sz w:val="20"/>
          <w:szCs w:val="20"/>
          <w:color w:val="auto"/>
        </w:rPr>
      </w:pPr>
    </w:p>
    <w:p>
      <w:pPr>
        <w:ind w:right="120" w:firstLine="4"/>
        <w:spacing w:after="0" w:line="281" w:lineRule="auto"/>
        <w:tabs>
          <w:tab w:leader="none" w:pos="2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continuation of Eurodollar Rate Advances or any Conversion of Base Rate Advances into Eurodollar Rate Advances shall be in an amount not less than the minimum amount specified in Section 2.02(b) and no continuation or Conversion of any Revolving Credit Advances shall result in more separate Revolving Credit Borrowings than permitted under Section 2.02(b). Each such notice with respect to any continuation of Eurodollar Rate Advances or Conversion of Base Rate Advances shall, within the restrictions specified above, specify (i) the date of such continuation or Conversion,</w:t>
      </w:r>
    </w:p>
    <w:p>
      <w:pPr>
        <w:spacing w:after="0" w:line="2" w:lineRule="exact"/>
        <w:rPr>
          <w:rFonts w:ascii="Arial" w:cs="Arial" w:eastAsia="Arial" w:hAnsi="Arial"/>
          <w:sz w:val="16"/>
          <w:szCs w:val="16"/>
          <w:color w:val="auto"/>
        </w:rPr>
      </w:pPr>
    </w:p>
    <w:p>
      <w:pPr>
        <w:ind w:right="40" w:firstLine="4"/>
        <w:spacing w:after="0" w:line="255" w:lineRule="auto"/>
        <w:tabs>
          <w:tab w:leader="none" w:pos="2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Revolving Credit Advances to be continued or Converted, and (iii) with respect to any continuation of Eurodollar Rate Advances or Conversion of Base Rate Advances into Eurodollar Rate Advances, the duration of the Interest Period for each such Advance. Each notice of continuation or Conversion shall be irrevocable and binding on the Borrower.</w:t>
      </w:r>
    </w:p>
    <w:p>
      <w:pPr>
        <w:spacing w:after="0" w:line="190" w:lineRule="exact"/>
        <w:rPr>
          <w:sz w:val="20"/>
          <w:szCs w:val="20"/>
          <w:color w:val="auto"/>
        </w:rPr>
      </w:pPr>
    </w:p>
    <w:p>
      <w:pPr>
        <w:ind w:right="440" w:firstLine="441"/>
        <w:spacing w:after="0" w:line="264"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Optional Prepayments of Revolving Credit Advances</w:t>
      </w:r>
      <w:r>
        <w:rPr>
          <w:rFonts w:ascii="Arial" w:cs="Arial" w:eastAsia="Arial" w:hAnsi="Arial"/>
          <w:sz w:val="18"/>
          <w:szCs w:val="18"/>
          <w:color w:val="auto"/>
        </w:rPr>
        <w:t>. The Borrower may, upon notice not later than 1:00 p.m. (Pittsburgh, Pennsylvania time) at least three Business Days’ prior to the date of such prepayment, in the case of Eurodollar Rate Advances, and not later than 1:00 p.m. (Pittsburgh, Pennsylvania time) on the date of such prepayment, in the case of Base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440" w:top="274" w:right="51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Rate Advances, to the Agent stating the proposed date and aggregate principal amount of the prepayment, and if such notice is given the Borrower shall,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prepay the outstanding principal amount of the Revolving Credit Advances comprising part of the same Revolving Credit Borrowing in whole or ratably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part, together with accrued interest to the date of such prepayment on the principal amount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(x) each partial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prepayment, in the case of a Revolving Credit Borrowing comprised of Eurodollar Rate Advances, shall be in an aggregate principal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$5,000,000 and in the case of a Revolving Credit Borrowing comprised of Base Rate Advances, shall be in an aggregate principal amount of $1,000,000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in each case, an integral multiple of $1,000,000 in excess thereof, (y) in the event of any such prepayment of a Eurodollar Rate Advance,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Borrower shall (i) be obligated to reimburse the Lenders in respect thereof pursuant to Section 8.04(c) and (ii) notify the Agent which Eurodollar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Advances are being prepaid and (z) any notice of prepayment under this Section 2.11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prepayment in full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delivered by the Borrower may state that such notice is conditioned upon the effectiveness of other credit facilities or debt or equity issuances, in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case such notice may be revoked by the Borrower (by notice to the Agent on or prior to the specified effective date) if such condition is not satisfied.</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17" w:lineRule="exact"/>
        <w:rPr>
          <w:sz w:val="20"/>
          <w:szCs w:val="20"/>
          <w:color w:val="auto"/>
        </w:rPr>
      </w:pPr>
    </w:p>
    <w:p>
      <w:pPr>
        <w:ind w:left="1120" w:hanging="235"/>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ind w:left="440" w:right="120" w:firstLine="851"/>
        <w:spacing w:after="0" w:line="264" w:lineRule="auto"/>
        <w:tabs>
          <w:tab w:leader="none" w:pos="1501" w:val="left"/>
        </w:tabs>
        <w:numPr>
          <w:ilvl w:val="1"/>
          <w:numId w:val="44"/>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advances, loans or other credit extended or participated in by, any Lender (except any reserve requirement reflected in the Eurodollar Rate) or the Issuing Lender;</w:t>
      </w:r>
    </w:p>
    <w:p>
      <w:pPr>
        <w:spacing w:after="0" w:line="73" w:lineRule="exact"/>
        <w:rPr>
          <w:rFonts w:ascii="Arial" w:cs="Arial" w:eastAsia="Arial" w:hAnsi="Arial"/>
          <w:sz w:val="18"/>
          <w:szCs w:val="18"/>
          <w:color w:val="auto"/>
        </w:rPr>
      </w:pPr>
    </w:p>
    <w:p>
      <w:pPr>
        <w:ind w:left="440" w:right="160" w:firstLine="851"/>
        <w:spacing w:after="0" w:line="264" w:lineRule="auto"/>
        <w:tabs>
          <w:tab w:leader="none" w:pos="1551" w:val="left"/>
        </w:tabs>
        <w:numPr>
          <w:ilvl w:val="1"/>
          <w:numId w:val="44"/>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73" w:lineRule="exact"/>
        <w:rPr>
          <w:rFonts w:ascii="Arial" w:cs="Arial" w:eastAsia="Arial" w:hAnsi="Arial"/>
          <w:sz w:val="18"/>
          <w:szCs w:val="18"/>
          <w:color w:val="auto"/>
        </w:rPr>
      </w:pPr>
    </w:p>
    <w:p>
      <w:pPr>
        <w:ind w:left="440" w:right="400" w:firstLine="851"/>
        <w:spacing w:after="0" w:line="342" w:lineRule="auto"/>
        <w:tabs>
          <w:tab w:leader="none" w:pos="1601" w:val="left"/>
        </w:tabs>
        <w:numPr>
          <w:ilvl w:val="1"/>
          <w:numId w:val="44"/>
        </w:numPr>
        <w:rPr>
          <w:rFonts w:ascii="Arial" w:cs="Arial" w:eastAsia="Arial" w:hAnsi="Arial"/>
          <w:sz w:val="16"/>
          <w:szCs w:val="16"/>
          <w:color w:val="auto"/>
        </w:rPr>
      </w:pPr>
      <w:r>
        <w:rPr>
          <w:rFonts w:ascii="Arial" w:cs="Arial" w:eastAsia="Arial" w:hAnsi="Arial"/>
          <w:sz w:val="16"/>
          <w:szCs w:val="16"/>
          <w:color w:val="auto"/>
        </w:rPr>
        <w:t>impose on any Lender or the Issuing Lender or the London interbank market any other condition, cost or expense (other than Taxes) affecting this Agreement or Eurodollar Rate Advances made by such Lender or any Letter of Credit or participation therein;</w:t>
      </w:r>
    </w:p>
    <w:p>
      <w:pPr>
        <w:spacing w:after="0" w:line="16" w:lineRule="exact"/>
        <w:rPr>
          <w:sz w:val="20"/>
          <w:szCs w:val="20"/>
          <w:color w:val="auto"/>
        </w:rPr>
      </w:pPr>
    </w:p>
    <w:p>
      <w:pPr>
        <w:ind w:left="440"/>
        <w:spacing w:after="0" w:line="254" w:lineRule="auto"/>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converting into, continuing or maintaining any Eurodollar Rate Advance (or of maintaining its obligation to make any such Advance), or to increase the cost to such Lender, the Issuing Lender or such other Recipient of participating in, issuing or maintaining any Letter of Credit (or of maintaining its obligation to participate in or to issue any Letter of Credit), or to reduce the amount of any sum received or receivable by such Lender, the Issuing Lender or such other Recipient hereunder (whether of principal, interest or any other amount) then, upon written request of such Lender or the Issuing Lender, the Borrower shall promptly pay to any such Lender, the Issuing Lender or such other Recipient, as the case may be, such additional amount or amounts as will compensate such Lender, the Issuing Lender or such other Recipient, as the case may be, for such additional costs incurred or reduction suffered.</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48" w:name="page49"/>
    <w:bookmarkEnd w:id="48"/>
    <w:p>
      <w:pPr>
        <w:ind w:firstLine="885"/>
        <w:spacing w:after="0" w:line="288" w:lineRule="auto"/>
        <w:tabs>
          <w:tab w:leader="none" w:pos="1136"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 Requirements</w:t>
      </w:r>
      <w:r>
        <w:rPr>
          <w:rFonts w:ascii="Arial" w:cs="Arial" w:eastAsia="Arial" w:hAnsi="Arial"/>
          <w:sz w:val="16"/>
          <w:szCs w:val="16"/>
          <w:color w:val="auto"/>
        </w:rPr>
        <w:t>. If any Lender or the Issuing Lender determines that any Change in Law affecting such Lender or the Issuing Lender or any Applicable Lending Office of such Lender or such Lender’s or the Issuing Lender’s holding company, if any, regarding capital or liquidity requirements has or would have the effect of reducing the rate of return on such Lender’s or the Issuing Lender’s capital or on the capital of such Lender’s or the Issuing Lender’s holding company, if any, as a consequence of this Agreement, the Commitment of such Lender or the Advances made by, or participations in Letters of Credit or Swing Line Advances held by, such Lender, or the Letters of Credit issued by the Issuing Lender, to a level below that which such Lender or the Issuing Lender or such Lender’s or the Issuing Lender’s holding company could have achieved but for such Change in Law (taking into consideration such Lender’s or the Issuing Lender’s policies and the policies of such Lender’s or the Issuing Lender’s holding company with respect to capital adequacy or liquidity), then from time to time upon written request of such Lender or the Issuing Lender the Borrower shall promptly pay to such Lender or the Issuing Lender, as the case may be, such additional amount or amounts as will compensate such Lender or the Issuing Lender or such Lender’s or the Issuing Lender’s holding company for any such reduction suffered.</w:t>
      </w:r>
    </w:p>
    <w:p>
      <w:pPr>
        <w:spacing w:after="0" w:line="61" w:lineRule="exact"/>
        <w:rPr>
          <w:rFonts w:ascii="Arial" w:cs="Arial" w:eastAsia="Arial" w:hAnsi="Arial"/>
          <w:sz w:val="16"/>
          <w:szCs w:val="16"/>
          <w:color w:val="auto"/>
        </w:rPr>
      </w:pPr>
    </w:p>
    <w:p>
      <w:pPr>
        <w:ind w:right="160" w:firstLine="885"/>
        <w:spacing w:after="0" w:line="279" w:lineRule="auto"/>
        <w:tabs>
          <w:tab w:leader="none" w:pos="1126"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Certificates for Reimbursement</w:t>
      </w:r>
      <w:r>
        <w:rPr>
          <w:rFonts w:ascii="Arial" w:cs="Arial" w:eastAsia="Arial" w:hAnsi="Arial"/>
          <w:sz w:val="17"/>
          <w:szCs w:val="17"/>
          <w:color w:val="auto"/>
        </w:rPr>
        <w:t>. A certificate of a Lender or the Issuing Lender setting forth the amount or amounts necessary to compensate such Lender or the Issuing Lender or its holding company, as the case may be, as specified in paragraph (a) or (b) of this Section and delivered to the Borrower shall be conclusive absent manifest error. The Borrower shall pay such Lender or the Issuing Lender, as the case may be, the amount shown as due on any such certificate within ten (10) Business Days after receipt thereof.</w:t>
      </w:r>
    </w:p>
    <w:p>
      <w:pPr>
        <w:spacing w:after="0" w:line="63" w:lineRule="exact"/>
        <w:rPr>
          <w:rFonts w:ascii="Arial" w:cs="Arial" w:eastAsia="Arial" w:hAnsi="Arial"/>
          <w:sz w:val="17"/>
          <w:szCs w:val="17"/>
          <w:color w:val="auto"/>
        </w:rPr>
      </w:pPr>
    </w:p>
    <w:p>
      <w:pPr>
        <w:ind w:right="260" w:firstLine="885"/>
        <w:spacing w:after="0" w:line="288" w:lineRule="auto"/>
        <w:tabs>
          <w:tab w:leader="none" w:pos="1136"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the Issuing Lender to demand compensation pursuant to this Section shall not constitute a waiver of such Lender’s or the Issuing Lender’s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the Issuing Lender pursuant to this Section for any increased costs incurred or reductions suffered more than nine</w:t>
      </w:r>
    </w:p>
    <w:p>
      <w:pPr>
        <w:jc w:val="both"/>
        <w:ind w:right="200" w:firstLine="4"/>
        <w:spacing w:after="0" w:line="254"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months prior to the date that such Lender or the Issuing Lender, as the case may be, notifies the Borrower of the Change in Law giving rise to such increased costs or reductions and of such Lender’s or the Issuing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90"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Illegality</w:t>
      </w:r>
      <w:r>
        <w:rPr>
          <w:rFonts w:ascii="Arial" w:cs="Arial" w:eastAsia="Arial" w:hAnsi="Arial"/>
          <w:sz w:val="18"/>
          <w:szCs w:val="18"/>
          <w:color w:val="auto"/>
        </w:rPr>
        <w:t>. Notwithstanding any other provision of this Agreement, if any Lender shall notify the Agent that the introduction of or any change in or in the interpretation of any law or regulation makes it unlawful, or any central bank or other governmental authority asserts that it is unlawful, for any Lender or its Eurodollar Lending Office to perform its obligations hereunder to make Eurodollar Rate Advances or to fund or maintain Eurodollar Rate Advances hereunder, (a) each Eurodollar Rate Advance will automatically, upon such demand, Convert into a Base Rate Advance and (b) the obligation of the Lenders to make Eurodollar Rate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49" w:name="page50"/>
    <w:bookmarkEnd w:id="49"/>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Advances or to Convert Revolving Credit Advances into Eurodollar Rate Advances shall be suspended until the Agent shall notify the Borrower and the Lenders that the circumstances causing such suspension no longer exist;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before making any such demand, each Lender agrees to use reasonable efforts (consistent with its internal policy and legal and regulatory restrictions) to designate a different Eurodollar Lending Office if the making of such a designation would allow such Lender or its Eurodollar Lending Office to continue to perform its obligations to make Eurodollar Rate Advances or to continue to fund or maintain Eurodollar Rate Advances and would not, in the judgment of such Lender, subject such Lender to any unreimbursed cost or expense or otherwise be disadvantageous to such Lender.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Payments and Computations</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86" w:lineRule="auto"/>
        <w:tabs>
          <w:tab w:leader="none" w:pos="112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Borrower shall make each payment hereunder, irrespective of any right of counterclaim or set-off, not later than 3:00 p.m. (Pittsburgh, Pennsylvania time) on the day when due in U.S. dollars to the Agent at the Agent’s Account in same day funds. The Agent will promptly thereafter cause to be distributed like funds relating to the payment of principal or interest or Commitment Fees ratably (other than amounts payable pursuant to Section 2.03, 2.12, 2.15 or 8.04(c), as provided in Section 2.21 or the payment to an Issuing Lender of its fronting fees)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any Assuming Lender becoming a Lender hereunder as a result of a Commitment Increase pursuant to Section 2.19, and upon the Agent’s receipt of such Lender’s Assumption Agreement and recording of the information contained therein in the Register, from and after the applicable Increase Date, the Agent shall make all payments hereunder and under any Notes issued in connection therewith in respect of the interest assumed thereby to the Assuming Lender. Upon its acceptance of an Assignment and Assumption and recording of the information contained therein in the Register pursuant to Section 8.07(b), from and after the effective date specified in such Assignment and Assumption, the Agent shall make all payments hereunder and under the Notes in respect of the interest assigned thereby to the Lender assignee thereunder, and the parties to such Assignment and Assumption shall make all appropriate adjustments in such payments for periods prior to such effective date directly between themselves.</w:t>
      </w:r>
    </w:p>
    <w:p>
      <w:pPr>
        <w:spacing w:after="0" w:line="66" w:lineRule="exact"/>
        <w:rPr>
          <w:rFonts w:ascii="Arial" w:cs="Arial" w:eastAsia="Arial" w:hAnsi="Arial"/>
          <w:sz w:val="16"/>
          <w:szCs w:val="16"/>
          <w:color w:val="auto"/>
        </w:rPr>
      </w:pPr>
    </w:p>
    <w:p>
      <w:pPr>
        <w:jc w:val="both"/>
        <w:ind w:firstLine="885"/>
        <w:spacing w:after="0" w:line="264" w:lineRule="auto"/>
        <w:tabs>
          <w:tab w:leader="none" w:pos="11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Borrower hereby authorizes each Lender and each Issuing Lender, if and to the extent payment owed to such Lender or such Issuing Lender is not made when due hereunder or under the Note held by such Lender to charge from time to time against any or all of the Borrower’s accounts with such Lender or such Issuing Lender any amount so due.</w:t>
      </w:r>
    </w:p>
    <w:p>
      <w:pPr>
        <w:spacing w:after="0" w:line="73" w:lineRule="exact"/>
        <w:rPr>
          <w:rFonts w:ascii="Arial" w:cs="Arial" w:eastAsia="Arial" w:hAnsi="Arial"/>
          <w:sz w:val="18"/>
          <w:szCs w:val="18"/>
          <w:color w:val="auto"/>
        </w:rPr>
      </w:pPr>
    </w:p>
    <w:p>
      <w:pPr>
        <w:ind w:right="40" w:firstLine="885"/>
        <w:spacing w:after="0" w:line="255" w:lineRule="auto"/>
        <w:tabs>
          <w:tab w:leader="none" w:pos="112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computations of interest based on the Base Rate shall be made by the Agent on the basis of a year of 365 or 366 days, as the case may be, and all computations of interest based on the Eurodollar Rate, the Federal Funds Rate or the Overnight Bank Funding Rate and of Commitment Fees, Letter of Credit Fees and fronting fees shall be made by the Agent on the basis of a year of 360 days, in each case for the actual number of days (including the first day but excluding the last day) occurring in the period for which such interest, Commitment Fees, Letter of Credit Fees or fronting fees are payable. Each determination by the Agent of an interest rate or component thereof under this Agreement shall be conclusive and binding for all purposes, absent manifest error.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50" w:name="page51"/>
    <w:bookmarkEnd w:id="50"/>
    <w:p>
      <w:pPr>
        <w:ind w:firstLine="885"/>
        <w:spacing w:after="0" w:line="257" w:lineRule="auto"/>
        <w:tabs>
          <w:tab w:leader="none" w:pos="1136"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or fees (including Commitment Fees, Letter of Credit Fees and fronting fees),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extension would cause payment of interest on or principal of Eurodollar Rate Advances to be made in the next following calendar month, such payment shall be made on the next preceding Business Day.</w:t>
      </w:r>
    </w:p>
    <w:p>
      <w:pPr>
        <w:spacing w:after="0" w:line="80" w:lineRule="exact"/>
        <w:rPr>
          <w:rFonts w:ascii="Arial" w:cs="Arial" w:eastAsia="Arial" w:hAnsi="Arial"/>
          <w:sz w:val="18"/>
          <w:szCs w:val="18"/>
          <w:color w:val="auto"/>
        </w:rPr>
      </w:pPr>
    </w:p>
    <w:p>
      <w:pPr>
        <w:ind w:right="40" w:firstLine="885"/>
        <w:spacing w:after="0" w:line="272" w:lineRule="auto"/>
        <w:tabs>
          <w:tab w:leader="none" w:pos="1126" w:val="left"/>
        </w:tabs>
        <w:numPr>
          <w:ilvl w:val="0"/>
          <w:numId w:val="48"/>
        </w:numPr>
        <w:rPr>
          <w:rFonts w:ascii="Arial" w:cs="Arial" w:eastAsia="Arial" w:hAnsi="Arial"/>
          <w:sz w:val="17"/>
          <w:szCs w:val="17"/>
          <w:color w:val="auto"/>
        </w:rPr>
      </w:pPr>
      <w:r>
        <w:rPr>
          <w:rFonts w:ascii="Arial" w:cs="Arial" w:eastAsia="Arial" w:hAnsi="Arial"/>
          <w:sz w:val="17"/>
          <w:szCs w:val="17"/>
          <w:color w:val="auto"/>
        </w:rPr>
        <w:t>Unless the Agent shall have received notice from the Borrower prior to the date on which any payment is due to the Lenders hereunder that the Borrower will not make such payment in full, the Agent may assume that the Borrower has made such payment in full to the Agent on such date and the Agent may, in reliance upon such assumption, cause to be distributed to each Lender on such due date an amount equal to the amount then due such Lender. If and to the extent the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the greater of the Federal Funds Rate and a rate determined by the Agent in accordance with banking industry rules on interbank compensation.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1120" w:hanging="235"/>
        <w:spacing w:after="0"/>
        <w:tabs>
          <w:tab w:leader="none" w:pos="112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For purposes of this Section 2.15, the term “Lender” includes any Issuing Lender and the term “Law” includes FATCA.</w:t>
      </w:r>
    </w:p>
    <w:p>
      <w:pPr>
        <w:spacing w:after="0" w:line="140" w:lineRule="exact"/>
        <w:rPr>
          <w:rFonts w:ascii="Arial" w:cs="Arial" w:eastAsia="Arial" w:hAnsi="Arial"/>
          <w:sz w:val="16"/>
          <w:szCs w:val="16"/>
          <w:color w:val="auto"/>
        </w:rPr>
      </w:pPr>
    </w:p>
    <w:p>
      <w:pPr>
        <w:ind w:firstLine="885"/>
        <w:spacing w:after="0" w:line="291" w:lineRule="auto"/>
        <w:tabs>
          <w:tab w:leader="none" w:pos="1136"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Payments Free of Taxes</w:t>
      </w:r>
      <w:r>
        <w:rPr>
          <w:rFonts w:ascii="Arial" w:cs="Arial" w:eastAsia="Arial" w:hAnsi="Arial"/>
          <w:sz w:val="16"/>
          <w:szCs w:val="16"/>
          <w:color w:val="auto"/>
        </w:rPr>
        <w:t>. Any and all payments by or on account of any obligation of the Borrower under any Loan Document shall be made without deduction or withholding for any Taxes, except as required by Law. If any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Official Body in accordance with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59" w:lineRule="exact"/>
        <w:rPr>
          <w:rFonts w:ascii="Arial" w:cs="Arial" w:eastAsia="Arial" w:hAnsi="Arial"/>
          <w:sz w:val="16"/>
          <w:szCs w:val="16"/>
          <w:color w:val="auto"/>
        </w:rPr>
      </w:pPr>
    </w:p>
    <w:p>
      <w:pPr>
        <w:ind w:right="340" w:firstLine="885"/>
        <w:spacing w:after="0" w:line="277" w:lineRule="auto"/>
        <w:tabs>
          <w:tab w:leader="none" w:pos="112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Payment of Other Taxes</w:t>
      </w:r>
      <w:r>
        <w:rPr>
          <w:rFonts w:ascii="Arial" w:cs="Arial" w:eastAsia="Arial" w:hAnsi="Arial"/>
          <w:sz w:val="18"/>
          <w:szCs w:val="18"/>
          <w:color w:val="auto"/>
        </w:rPr>
        <w:t>. The Borrower shall timely pay to the relevant Official Body in accordance with Law, or at the option of the Agent, timely reimburse it for the payment of, any Other Taxes.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51" w:name="page52"/>
    <w:bookmarkEnd w:id="51"/>
    <w:p>
      <w:pPr>
        <w:ind w:right="160" w:firstLine="885"/>
        <w:spacing w:after="0" w:line="273" w:lineRule="auto"/>
        <w:tabs>
          <w:tab w:leader="none" w:pos="1136"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 by the Borrower</w:t>
      </w:r>
      <w:r>
        <w:rPr>
          <w:rFonts w:ascii="Arial" w:cs="Arial" w:eastAsia="Arial" w:hAnsi="Arial"/>
          <w:sz w:val="17"/>
          <w:szCs w:val="17"/>
          <w:color w:val="auto"/>
        </w:rPr>
        <w:t>. The Borrower shall indemnify each Recipient, within ten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Official Body. A certificate as to the amount of such payment or liability delivered to the Borrower by a Lender (with a copy to the Agent), or by the Agent on its own behalf or on behalf of a Lender, shall be conclusive absent manifest error.</w:t>
      </w:r>
    </w:p>
    <w:p>
      <w:pPr>
        <w:spacing w:after="0" w:line="70" w:lineRule="exact"/>
        <w:rPr>
          <w:rFonts w:ascii="Arial" w:cs="Arial" w:eastAsia="Arial" w:hAnsi="Arial"/>
          <w:sz w:val="17"/>
          <w:szCs w:val="17"/>
          <w:color w:val="auto"/>
        </w:rPr>
      </w:pPr>
    </w:p>
    <w:p>
      <w:pPr>
        <w:ind w:firstLine="885"/>
        <w:spacing w:after="0" w:line="270" w:lineRule="auto"/>
        <w:tabs>
          <w:tab w:leader="none" w:pos="1126"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Indemnification by the Lenders</w:t>
      </w:r>
      <w:r>
        <w:rPr>
          <w:rFonts w:ascii="Arial" w:cs="Arial" w:eastAsia="Arial" w:hAnsi="Arial"/>
          <w:sz w:val="17"/>
          <w:szCs w:val="17"/>
          <w:color w:val="auto"/>
        </w:rPr>
        <w:t>. Each Lender shall severally indemnify the Agent, within ten (10) Business Days after demand therefor, for (i) any Indemnified Taxes attributable to such Lender (but only to the extent the Borrower has not already indemnified the Agent for such Indemnified Taxes and without limiting the obligation of the Borrower to do so), (ii) any Taxes attributable to such Lender’s failure to comply with the provisions of Section 8.07(d) relating to the maintenance of a Participant Register and (iii)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Official Body.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subsection (e).</w:t>
      </w:r>
    </w:p>
    <w:p>
      <w:pPr>
        <w:spacing w:after="0" w:line="73" w:lineRule="exact"/>
        <w:rPr>
          <w:rFonts w:ascii="Arial" w:cs="Arial" w:eastAsia="Arial" w:hAnsi="Arial"/>
          <w:sz w:val="17"/>
          <w:szCs w:val="17"/>
          <w:color w:val="auto"/>
        </w:rPr>
      </w:pPr>
    </w:p>
    <w:p>
      <w:pPr>
        <w:ind w:left="1120" w:hanging="235"/>
        <w:spacing w:after="0"/>
        <w:tabs>
          <w:tab w:leader="none" w:pos="112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Evidence of Payments</w:t>
      </w:r>
      <w:r>
        <w:rPr>
          <w:rFonts w:ascii="Arial" w:cs="Arial" w:eastAsia="Arial" w:hAnsi="Arial"/>
          <w:sz w:val="17"/>
          <w:szCs w:val="17"/>
          <w:color w:val="auto"/>
        </w:rPr>
        <w:t>. As soon as practicable after any payment of Taxes by the Borrower to an Official Body pursuant to this</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Section 2.15, the Borrower shall deliver to the Agent the original or a certified copy of a receipt issued by such Official Body evidencing such payment, a copy of the return reporting such payment or other evidence of such payment reasonably satisfactory to the Agent.</w:t>
      </w:r>
    </w:p>
    <w:p>
      <w:pPr>
        <w:spacing w:after="0" w:line="76" w:lineRule="exact"/>
        <w:rPr>
          <w:sz w:val="20"/>
          <w:szCs w:val="20"/>
          <w:color w:val="auto"/>
        </w:rPr>
      </w:pPr>
    </w:p>
    <w:p>
      <w:pPr>
        <w:ind w:left="1140" w:hanging="255"/>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80" w:firstLine="851"/>
        <w:spacing w:after="0" w:line="270" w:lineRule="auto"/>
        <w:tabs>
          <w:tab w:leader="none" w:pos="1501" w:val="left"/>
        </w:tabs>
        <w:numPr>
          <w:ilvl w:val="1"/>
          <w:numId w:val="51"/>
        </w:numPr>
        <w:rPr>
          <w:rFonts w:ascii="Arial" w:cs="Arial" w:eastAsia="Arial" w:hAnsi="Arial"/>
          <w:sz w:val="17"/>
          <w:szCs w:val="17"/>
          <w:color w:val="auto"/>
        </w:rPr>
      </w:pPr>
      <w:r>
        <w:rPr>
          <w:rFonts w:ascii="Arial" w:cs="Arial" w:eastAsia="Arial" w:hAnsi="Arial"/>
          <w:sz w:val="17"/>
          <w:szCs w:val="17"/>
          <w:color w:val="auto"/>
        </w:rPr>
        <w:t>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2.15(g)(ii)(A),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52" w:name="page53"/>
    <w:bookmarkEnd w:id="52"/>
    <w:p>
      <w:pPr>
        <w:ind w:left="560" w:hanging="269"/>
        <w:spacing w:after="0"/>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limiting the generality of the foregoing, in the event that the Borrower is a U.S. Person,</w:t>
      </w:r>
    </w:p>
    <w:p>
      <w:pPr>
        <w:spacing w:after="0" w:line="117" w:lineRule="exact"/>
        <w:rPr>
          <w:rFonts w:ascii="Arial" w:cs="Arial" w:eastAsia="Arial" w:hAnsi="Arial"/>
          <w:sz w:val="18"/>
          <w:szCs w:val="18"/>
          <w:color w:val="auto"/>
        </w:rPr>
      </w:pPr>
    </w:p>
    <w:p>
      <w:pPr>
        <w:ind w:left="440" w:right="120" w:firstLine="380"/>
        <w:spacing w:after="0" w:line="312" w:lineRule="auto"/>
        <w:tabs>
          <w:tab w:leader="none" w:pos="1118" w:val="left"/>
        </w:tabs>
        <w:numPr>
          <w:ilvl w:val="1"/>
          <w:numId w:val="52"/>
        </w:numPr>
        <w:rPr>
          <w:rFonts w:ascii="Arial" w:cs="Arial" w:eastAsia="Arial" w:hAnsi="Arial"/>
          <w:sz w:val="16"/>
          <w:szCs w:val="16"/>
          <w:color w:val="auto"/>
        </w:rPr>
      </w:pPr>
      <w:r>
        <w:rPr>
          <w:rFonts w:ascii="Arial" w:cs="Arial" w:eastAsia="Arial" w:hAnsi="Arial"/>
          <w:sz w:val="16"/>
          <w:szCs w:val="16"/>
          <w:color w:val="auto"/>
        </w:rPr>
        <w:t>any Lender that is a U.S. Person shall deliver to the Borrower and the Agent on or prior to the date on which such Lender becomes a Lender under this Agreement (and from time to time thereafter upon the reasonable request of the Borrower or the Agent), executed originals of IRS Form W-9 certifying that such Lender is exempt from U.S. federal backup withholding tax;</w:t>
      </w:r>
    </w:p>
    <w:p>
      <w:pPr>
        <w:spacing w:after="0" w:line="38" w:lineRule="exact"/>
        <w:rPr>
          <w:rFonts w:ascii="Arial" w:cs="Arial" w:eastAsia="Arial" w:hAnsi="Arial"/>
          <w:sz w:val="16"/>
          <w:szCs w:val="16"/>
          <w:color w:val="auto"/>
        </w:rPr>
      </w:pPr>
    </w:p>
    <w:p>
      <w:pPr>
        <w:ind w:left="440" w:firstLine="380"/>
        <w:spacing w:after="0" w:line="259" w:lineRule="auto"/>
        <w:tabs>
          <w:tab w:leader="none" w:pos="110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whichever of the following is applicable:</w:t>
      </w:r>
    </w:p>
    <w:p>
      <w:pPr>
        <w:spacing w:after="0" w:line="78" w:lineRule="exact"/>
        <w:rPr>
          <w:rFonts w:ascii="Arial" w:cs="Arial" w:eastAsia="Arial" w:hAnsi="Arial"/>
          <w:sz w:val="18"/>
          <w:szCs w:val="18"/>
          <w:color w:val="auto"/>
        </w:rPr>
      </w:pPr>
    </w:p>
    <w:p>
      <w:pPr>
        <w:ind w:left="1460" w:hanging="217"/>
        <w:spacing w:after="0"/>
        <w:tabs>
          <w:tab w:leader="none" w:pos="1460" w:val="left"/>
        </w:tabs>
        <w:numPr>
          <w:ilvl w:val="3"/>
          <w:numId w:val="52"/>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an income tax treaty to which the United States is a party</w:t>
      </w:r>
    </w:p>
    <w:p>
      <w:pPr>
        <w:spacing w:after="0" w:line="34" w:lineRule="exact"/>
        <w:rPr>
          <w:rFonts w:ascii="Arial" w:cs="Arial" w:eastAsia="Arial" w:hAnsi="Arial"/>
          <w:sz w:val="17"/>
          <w:szCs w:val="17"/>
          <w:color w:val="auto"/>
        </w:rPr>
      </w:pPr>
    </w:p>
    <w:p>
      <w:pPr>
        <w:ind w:left="880" w:right="160" w:hanging="3"/>
        <w:spacing w:after="0" w:line="253" w:lineRule="auto"/>
        <w:tabs>
          <w:tab w:leader="none" w:pos="1135" w:val="left"/>
        </w:tabs>
        <w:numPr>
          <w:ilvl w:val="2"/>
          <w:numId w:val="52"/>
        </w:numPr>
        <w:rPr>
          <w:rFonts w:ascii="Arial" w:cs="Arial" w:eastAsia="Arial" w:hAnsi="Arial"/>
          <w:sz w:val="18"/>
          <w:szCs w:val="18"/>
          <w:color w:val="auto"/>
        </w:rPr>
      </w:pPr>
      <w:r>
        <w:rPr>
          <w:rFonts w:ascii="Arial" w:cs="Arial" w:eastAsia="Arial" w:hAnsi="Arial"/>
          <w:sz w:val="18"/>
          <w:szCs w:val="18"/>
          <w:color w:val="auto"/>
        </w:rPr>
        <w:t>with respect to payments of interest under any Loan Document, executed originals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83" w:lineRule="exact"/>
        <w:rPr>
          <w:rFonts w:ascii="Arial" w:cs="Arial" w:eastAsia="Arial" w:hAnsi="Arial"/>
          <w:sz w:val="18"/>
          <w:szCs w:val="18"/>
          <w:color w:val="auto"/>
        </w:rPr>
      </w:pPr>
    </w:p>
    <w:p>
      <w:pPr>
        <w:ind w:left="1500" w:hanging="257"/>
        <w:spacing w:after="0"/>
        <w:tabs>
          <w:tab w:leader="none" w:pos="1500" w:val="left"/>
        </w:tabs>
        <w:numPr>
          <w:ilvl w:val="3"/>
          <w:numId w:val="53"/>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117" w:lineRule="exact"/>
        <w:rPr>
          <w:rFonts w:ascii="Arial" w:cs="Arial" w:eastAsia="Arial" w:hAnsi="Arial"/>
          <w:sz w:val="18"/>
          <w:szCs w:val="18"/>
          <w:color w:val="auto"/>
        </w:rPr>
      </w:pPr>
    </w:p>
    <w:p>
      <w:pPr>
        <w:ind w:left="880" w:right="100" w:firstLine="363"/>
        <w:spacing w:after="0" w:line="255" w:lineRule="auto"/>
        <w:tabs>
          <w:tab w:leader="none" w:pos="1561" w:val="left"/>
        </w:tabs>
        <w:numPr>
          <w:ilvl w:val="3"/>
          <w:numId w:val="53"/>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Internal Revenue Code, (x) a certificate substantially in the form of Exhibit E-1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originals of IRS Form W-8BEN or W-8BEN-E; or</w:t>
      </w:r>
    </w:p>
    <w:p>
      <w:pPr>
        <w:spacing w:after="0" w:line="1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9980"/>
          </w:cols>
          <w:pgMar w:left="1440" w:top="274" w:right="479" w:bottom="1440" w:gutter="0" w:footer="0" w:header="0"/>
        </w:sectPr>
      </w:pPr>
    </w:p>
    <w:bookmarkStart w:id="53" w:name="page54"/>
    <w:bookmarkEnd w:id="53"/>
    <w:p>
      <w:pPr>
        <w:jc w:val="both"/>
        <w:ind w:left="1880" w:right="40" w:firstLine="363"/>
        <w:spacing w:after="0" w:line="273" w:lineRule="auto"/>
        <w:tabs>
          <w:tab w:leader="none" w:pos="2551" w:val="left"/>
        </w:tabs>
        <w:numPr>
          <w:ilvl w:val="1"/>
          <w:numId w:val="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the extent a Foreign Lender is not the beneficial owner, executed originals of IRS Form W-8IMY, accompanied by IRS Form W-8ECI, IRS Form W-8BEN or W-8BEN-E, a U.S. Tax Compliance Certificate substantially in the form of Exhibit E-2 or Exhibit E-3, IRS Form W-9, and/or other certification documents from each beneficial owner,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70" w:lineRule="exact"/>
        <w:rPr>
          <w:rFonts w:ascii="Arial" w:cs="Arial" w:eastAsia="Arial" w:hAnsi="Arial"/>
          <w:sz w:val="17"/>
          <w:szCs w:val="17"/>
          <w:color w:val="auto"/>
        </w:rPr>
      </w:pPr>
    </w:p>
    <w:p>
      <w:pPr>
        <w:ind w:left="1440" w:right="40" w:firstLine="380"/>
        <w:spacing w:after="0" w:line="273" w:lineRule="auto"/>
        <w:tabs>
          <w:tab w:leader="none" w:pos="2108"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executed originals of any other form prescribed by Law as a basis for claiming exemption from or a reduction in U.S. federal withholding Tax, duly completed, together with such supplementary documentation as may be prescribed by Law to permit the Borrower or the Agent to determine the withholding or deduction required to be made; and</w:t>
      </w:r>
    </w:p>
    <w:p>
      <w:pPr>
        <w:spacing w:after="0" w:line="70" w:lineRule="exact"/>
        <w:rPr>
          <w:rFonts w:ascii="Arial" w:cs="Arial" w:eastAsia="Arial" w:hAnsi="Arial"/>
          <w:sz w:val="17"/>
          <w:szCs w:val="17"/>
          <w:color w:val="auto"/>
        </w:rPr>
      </w:pPr>
    </w:p>
    <w:p>
      <w:pPr>
        <w:ind w:left="1440" w:right="20" w:firstLine="380"/>
        <w:spacing w:after="0" w:line="270" w:lineRule="auto"/>
        <w:tabs>
          <w:tab w:leader="none" w:pos="2118" w:val="left"/>
        </w:tabs>
        <w:numPr>
          <w:ilvl w:val="0"/>
          <w:numId w:val="55"/>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Agent at the time or times prescribed by law and at such time or times reasonably requested by the Borrower or the Agent such documentation prescribed by Law (including as prescribed by Section 1471(b)(3)(C)(i) of the Internal Revenue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62" w:lineRule="exact"/>
        <w:rPr>
          <w:sz w:val="20"/>
          <w:szCs w:val="20"/>
          <w:color w:val="auto"/>
        </w:rPr>
      </w:pPr>
    </w:p>
    <w:p>
      <w:pPr>
        <w:ind w:firstLine="885"/>
        <w:spacing w:after="0" w:line="257" w:lineRule="auto"/>
        <w:tabs>
          <w:tab w:leader="none" w:pos="113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If any party determines, in its sole discretion exercised in good faith, that it has received a refund of any Taxes as to which it has been indemnified pursuant to this Section 2.15 (including by the payment of additional amounts pursuant to this Section 2.15), it shall pay to the indemnifying party an amount equal to such refund (but only to the extent of indemnity payments made under this Section with respect to the Taxes giving rise to such refund), net of all out of pocket expenses (including Taxes) of such indemnified party and without interest (other than any interest paid by the relevant Official Body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54" w:name="page55"/>
    <w:bookmarkEnd w:id="54"/>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such refund). Such indemnifying party, upon the request of such indemnified party, shall repay to such indemnified party the amount paid over pursuant to this subsection (h) (plus any penalties, interest or other charges imposed by the relevant Official Body) in the event that such indemnified party is required to repay such refund to such Official Body. Notwithstanding anything to the contrary in this subsection (h), in no event will the indemnified party be required to pay any amount to an indemnifying party pursuant to this subsection (h) the payment of which would place the indemnified party in a less favorable net after 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the indemnifying party or any other Person.</w:t>
      </w:r>
    </w:p>
    <w:p>
      <w:pPr>
        <w:spacing w:after="0" w:line="71" w:lineRule="exact"/>
        <w:rPr>
          <w:sz w:val="20"/>
          <w:szCs w:val="20"/>
          <w:color w:val="auto"/>
        </w:rPr>
      </w:pPr>
    </w:p>
    <w:p>
      <w:pPr>
        <w:jc w:val="both"/>
        <w:ind w:right="100" w:firstLine="885"/>
        <w:spacing w:after="0" w:line="264" w:lineRule="auto"/>
        <w:tabs>
          <w:tab w:leader="none" w:pos="109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2.15 shall survive the resignation or replacement of the Agent or any assignment of rights by, or the replacement of, a Lender, the termination of the Commitments and the repayment, satisfaction or discharge of all obligations under any Loan Document.</w:t>
      </w:r>
    </w:p>
    <w:p>
      <w:pPr>
        <w:spacing w:after="0" w:line="181"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Sharing of Payments, Etc.</w:t>
      </w:r>
      <w:r>
        <w:rPr>
          <w:rFonts w:ascii="Arial" w:cs="Arial" w:eastAsia="Arial" w:hAnsi="Arial"/>
          <w:sz w:val="16"/>
          <w:szCs w:val="16"/>
          <w:color w:val="auto"/>
        </w:rPr>
        <w:t xml:space="preserve"> If any Lender shall obtain any payment (whether voluntary, involuntary, through the exercise of any right of set off, or otherwise) on account of the Revolving Credit Advances owing to it (other than pursuant to Section 2.12, 2.15 or 8.04(c)) in excess of its ratable share of payments on account of the Revolving Credit Advances obtained by all the Lenders, such Lender shall forthwith purchase from the other Lenders such participations in the Revolving Credit Advances owing to them as shall be necessary to cause such purchasing Lender to share the excess payment ratably with each of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2.16 may, to the fullest extent permitted by law, exercise all its rights of payment (including the right of set off) with respect to such participation as fully as if such Lender were the direct creditor of the Borrower in the amount of such participation.</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Evidence of Debt</w:t>
      </w:r>
      <w:r>
        <w:rPr>
          <w:rFonts w:ascii="Arial" w:cs="Arial" w:eastAsia="Arial" w:hAnsi="Arial"/>
          <w:sz w:val="18"/>
          <w:szCs w:val="18"/>
          <w:color w:val="auto"/>
        </w:rPr>
        <w:t>.</w:t>
      </w:r>
    </w:p>
    <w:p>
      <w:pPr>
        <w:spacing w:after="0" w:line="117" w:lineRule="exact"/>
        <w:rPr>
          <w:sz w:val="20"/>
          <w:szCs w:val="20"/>
          <w:color w:val="auto"/>
        </w:rPr>
      </w:pPr>
    </w:p>
    <w:p>
      <w:pPr>
        <w:ind w:right="60" w:firstLine="885"/>
        <w:spacing w:after="0" w:line="257" w:lineRule="auto"/>
        <w:tabs>
          <w:tab w:leader="none" w:pos="1126"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Lender (including the Swing Line Lender) shall maintain in accordance with its usual practice an account or accounts evidencing the indebtedness of the Borrower to such Lender resulting from each Revolving Credit Advance owing to such Lender from time to time and, with respect to the Swing Line Lender, each Swing Line Advance, including the amounts of principal and interest payable and paid to such Lender from time to time hereunder in respect of Revolving Credit Advances and Swing Line Advances. The Borrower agrees that upon notice by any Lender to the Borrower (with a copy of such notice 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55" w:name="page56"/>
    <w:bookmarkEnd w:id="55"/>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Agent) to the effect that a Revolving Credit Note is required or appropriate in order for such Lender to evidence (whether for purposes of pledge, enforcement or otherwise) the Revolving Credit Advances owing to, or to be made by, such Lender, the Borrower shall promptly execute and deliver to such Lender a Revolving Credit Note payable to such Lender in a principal amount up to the Commitment of such Lender.</w:t>
      </w:r>
    </w:p>
    <w:p>
      <w:pPr>
        <w:spacing w:after="0" w:line="57" w:lineRule="exact"/>
        <w:rPr>
          <w:sz w:val="20"/>
          <w:szCs w:val="20"/>
          <w:color w:val="auto"/>
        </w:rPr>
      </w:pPr>
    </w:p>
    <w:p>
      <w:pPr>
        <w:ind w:firstLine="885"/>
        <w:spacing w:after="0" w:line="293" w:lineRule="auto"/>
        <w:tabs>
          <w:tab w:leader="none" w:pos="1136"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Register maintained by the Agent pursuant to Section 8.07(c) shall include a control account, and a subsidiary account for each Lender, in which accounts (taken together) shall be recorded (i) the date and amount of each Revolving Credit Borrowing made hereunder, the Type of Advances (including continuations and Conversions thereof) comprising such Revolving Credit Borrowing and, if appropriate, the Interest Period applicable thereto, (ii) the date and amount of each Swing Line Advance, (iii) the terms of each Assumption Agreement and each Assignment and Assumption delivered to and accepted by it, (iv) the amount of any principal or interest due and payable or to become due and payable from the Borrower to each Lender hereunder and (v) the amount of any sum received by the Agent from the Borrower hereunder and each Lender’s share thereof.</w:t>
      </w:r>
    </w:p>
    <w:p>
      <w:pPr>
        <w:spacing w:after="0" w:line="56" w:lineRule="exact"/>
        <w:rPr>
          <w:rFonts w:ascii="Arial" w:cs="Arial" w:eastAsia="Arial" w:hAnsi="Arial"/>
          <w:sz w:val="16"/>
          <w:szCs w:val="16"/>
          <w:color w:val="auto"/>
        </w:rPr>
      </w:pPr>
    </w:p>
    <w:p>
      <w:pPr>
        <w:ind w:right="40" w:firstLine="885"/>
        <w:spacing w:after="0" w:line="297" w:lineRule="auto"/>
        <w:tabs>
          <w:tab w:leader="none" w:pos="1126"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Entries made in good faith by the Agent in the Register pursuant to subsection (b) above, and by each Lender in its account or accounts pursuant to subsection (a) above, shall be prima facie evidence of the amount of principal and interest due and payable or to become due and payable from the Borrower to, in the case of the Register, each Lender and, in the case of such account or accounts, such Lender, under this Agreement, absent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the Agent or such Lender to make an entry, or any finding that an entry is incorrect, in the Register or such account or accounts shall not limit or otherwise affect the obligations of the Borrower under this Agreement.</w:t>
      </w:r>
    </w:p>
    <w:p>
      <w:pPr>
        <w:spacing w:after="0" w:line="158"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Advances shall be available (and the Borrower agrees that it shall use such proceeds) for general corporate purposes of the Borrower and its Subsidiaries, including the refinancing of the Existing Credit Agreement, working capital and capital expenditures.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Increase in the Aggregate Commitments</w:t>
      </w:r>
      <w:r>
        <w:rPr>
          <w:rFonts w:ascii="Arial" w:cs="Arial" w:eastAsia="Arial" w:hAnsi="Arial"/>
          <w:sz w:val="18"/>
          <w:szCs w:val="18"/>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 The Borrower may by notice to the Agent, request that the aggregate amount of the Commitment be increased by an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$10,000,000 or an integral multiple thereof (each a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to be effective as of a date that is at least 30 days prior to the scheduled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Termination Date then in effect (the “</w:t>
      </w:r>
      <w:r>
        <w:rPr>
          <w:rFonts w:ascii="Arial" w:cs="Arial" w:eastAsia="Arial" w:hAnsi="Arial"/>
          <w:sz w:val="17"/>
          <w:szCs w:val="17"/>
          <w:u w:val="single" w:color="auto"/>
          <w:color w:val="auto"/>
        </w:rPr>
        <w:t>Increase Date</w:t>
      </w:r>
      <w:r>
        <w:rPr>
          <w:rFonts w:ascii="Arial" w:cs="Arial" w:eastAsia="Arial" w:hAnsi="Arial"/>
          <w:sz w:val="17"/>
          <w:szCs w:val="17"/>
          <w:color w:val="auto"/>
        </w:rPr>
        <w:t xml:space="preserve">”) as specified in the related notice to the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in no event shall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aggregate amount of the Commitments at any time exceed $500,000,000 and (ii) on the date of any request by the Borrower for a Commitment Increase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on the related Increase Date, the applicable conditions set forth in Article III shall be satisfied.</w:t>
      </w:r>
    </w:p>
    <w:p>
      <w:pPr>
        <w:spacing w:after="0" w:line="103" w:lineRule="exact"/>
        <w:rPr>
          <w:sz w:val="20"/>
          <w:szCs w:val="20"/>
          <w:color w:val="auto"/>
        </w:rPr>
      </w:pPr>
    </w:p>
    <w:p>
      <w:pPr>
        <w:ind w:right="60" w:firstLine="885"/>
        <w:spacing w:after="0" w:line="259" w:lineRule="auto"/>
        <w:tabs>
          <w:tab w:leader="none" w:pos="11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Agent shall promptly notify the Lenders of a request by the Borrower for a Commitment Increase, which notice shall include (i) the proposed amount of such requested Commitment Increase, (ii) the proposed Increase Date and (iii) the date by which Lenders wishing to participate in the Commitment Increase must commit to an increase in the amount of their respective Commitments (the “</w:t>
      </w:r>
      <w:r>
        <w:rPr>
          <w:rFonts w:ascii="Arial" w:cs="Arial" w:eastAsia="Arial" w:hAnsi="Arial"/>
          <w:sz w:val="18"/>
          <w:szCs w:val="18"/>
          <w:u w:val="single" w:color="auto"/>
          <w:color w:val="auto"/>
        </w:rPr>
        <w:t>Commitment Date</w:t>
      </w:r>
      <w:r>
        <w:rPr>
          <w:rFonts w:ascii="Arial" w:cs="Arial" w:eastAsia="Arial" w:hAnsi="Arial"/>
          <w:sz w:val="18"/>
          <w:szCs w:val="18"/>
          <w:color w:val="auto"/>
        </w:rPr>
        <w:t>”). Each Lender that is willing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56" w:name="page57"/>
    <w:bookmarkEnd w:id="56"/>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participate in such requested Commitment Increase (each an “</w:t>
      </w:r>
      <w:r>
        <w:rPr>
          <w:rFonts w:ascii="Arial" w:cs="Arial" w:eastAsia="Arial" w:hAnsi="Arial"/>
          <w:sz w:val="18"/>
          <w:szCs w:val="18"/>
          <w:u w:val="single" w:color="auto"/>
          <w:color w:val="auto"/>
        </w:rPr>
        <w:t>Increasing Lender</w:t>
      </w:r>
      <w:r>
        <w:rPr>
          <w:rFonts w:ascii="Arial" w:cs="Arial" w:eastAsia="Arial" w:hAnsi="Arial"/>
          <w:sz w:val="18"/>
          <w:szCs w:val="18"/>
          <w:color w:val="auto"/>
        </w:rPr>
        <w:t>”) shall, in its sole discretion, give written notice to the Agent on or prior to the Commitment Date of the amount by which it is willing to increase its Commitment. If the Lenders notify the Agent that they are willing to increase the amount of their respective Commitments by an aggregate amount that exceeds the amount of the requested Commitment Increase, the requested Commitment Increase shall be allocated among the Lenders willing to participate therein in such amounts as are agreed between the Borrower and the Agent.</w:t>
      </w:r>
    </w:p>
    <w:p>
      <w:pPr>
        <w:spacing w:after="0" w:line="80" w:lineRule="exact"/>
        <w:rPr>
          <w:sz w:val="20"/>
          <w:szCs w:val="20"/>
          <w:color w:val="auto"/>
        </w:rPr>
      </w:pPr>
    </w:p>
    <w:p>
      <w:pPr>
        <w:ind w:right="220" w:firstLine="885"/>
        <w:spacing w:after="0" w:line="293" w:lineRule="auto"/>
        <w:tabs>
          <w:tab w:leader="none" w:pos="1126"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Promptly following each Commitment Date, the Agent shall notify the Borrower as to the amount, if any, by which the Lenders are willing to participate in the requested Commitment Increase. If the aggregate amount by which the Lenders are willing to participate in any requested Commitment Increase on any such Commitment Date is less than the requested Commitment Increase, then the Borrower may extend offers to one or more Eligible Assignees to participate in any portion of the requested Commitment Increase that has not been committed to by the Lenders as of the applicable Commitment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Commitment of each such Eligible Assignee shall be in an amount of $5,000,000 or an integral multiple of $1,000,000 in excess thereof (or such lower amount as the Borrower and the Agent otherwise agree).</w:t>
      </w:r>
    </w:p>
    <w:p>
      <w:pPr>
        <w:spacing w:after="0" w:line="56" w:lineRule="exact"/>
        <w:rPr>
          <w:rFonts w:ascii="Arial" w:cs="Arial" w:eastAsia="Arial" w:hAnsi="Arial"/>
          <w:sz w:val="16"/>
          <w:szCs w:val="16"/>
          <w:color w:val="auto"/>
        </w:rPr>
      </w:pPr>
    </w:p>
    <w:p>
      <w:pPr>
        <w:ind w:right="80" w:firstLine="885"/>
        <w:spacing w:after="0" w:line="257" w:lineRule="auto"/>
        <w:tabs>
          <w:tab w:leader="none" w:pos="11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each Increase Date, each Eligible Assignee that accepts an offer to participate in a requested Commitment Increase in accordance with Section 2.19(c) (each such Eligible Assignee, an “</w:t>
      </w:r>
      <w:r>
        <w:rPr>
          <w:rFonts w:ascii="Arial" w:cs="Arial" w:eastAsia="Arial" w:hAnsi="Arial"/>
          <w:sz w:val="18"/>
          <w:szCs w:val="18"/>
          <w:u w:val="single" w:color="auto"/>
          <w:color w:val="auto"/>
        </w:rPr>
        <w:t>Assuming Lender</w:t>
      </w:r>
      <w:r>
        <w:rPr>
          <w:rFonts w:ascii="Arial" w:cs="Arial" w:eastAsia="Arial" w:hAnsi="Arial"/>
          <w:sz w:val="18"/>
          <w:szCs w:val="18"/>
          <w:color w:val="auto"/>
        </w:rPr>
        <w:t xml:space="preserve">”) shall become a Lender party to this Agreement as of such Increase Date and the Commitment of each Increasing Lender for such requested Commitment Increase shall be so increased by such amount (or by the amount allocated to such Lender pursuant to the last sentence of Section 2.19(b)) as of such Increase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Agent shall have received on or before such Increase Date the following, each dated such date:</w:t>
      </w:r>
    </w:p>
    <w:p>
      <w:pPr>
        <w:spacing w:after="0" w:line="80" w:lineRule="exact"/>
        <w:rPr>
          <w:rFonts w:ascii="Arial" w:cs="Arial" w:eastAsia="Arial" w:hAnsi="Arial"/>
          <w:sz w:val="18"/>
          <w:szCs w:val="18"/>
          <w:color w:val="auto"/>
        </w:rPr>
      </w:pPr>
    </w:p>
    <w:p>
      <w:pPr>
        <w:jc w:val="both"/>
        <w:ind w:left="440" w:right="120" w:firstLine="851"/>
        <w:spacing w:after="0" w:line="264" w:lineRule="auto"/>
        <w:tabs>
          <w:tab w:leader="none" w:pos="1501"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certified copies of resolutions of the Board of Directors of the Borrower or the Executive Committee of such Board approving the Commitment Increase and the corresponding modifications to this Agreement and (B) an opinion of counsel for the Borrower (which may be in-house counsel);</w:t>
      </w:r>
    </w:p>
    <w:p>
      <w:pPr>
        <w:spacing w:after="0" w:line="73" w:lineRule="exact"/>
        <w:rPr>
          <w:rFonts w:ascii="Arial" w:cs="Arial" w:eastAsia="Arial" w:hAnsi="Arial"/>
          <w:sz w:val="18"/>
          <w:szCs w:val="18"/>
          <w:color w:val="auto"/>
        </w:rPr>
      </w:pPr>
    </w:p>
    <w:p>
      <w:pPr>
        <w:ind w:left="440" w:right="240" w:firstLine="851"/>
        <w:spacing w:after="0" w:line="277" w:lineRule="auto"/>
        <w:tabs>
          <w:tab w:leader="none" w:pos="1551"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 assumption agreement from each Assuming Lender, if any, in form and substance satisfactory to the Borrower and the Agent (each an “</w:t>
      </w:r>
      <w:r>
        <w:rPr>
          <w:rFonts w:ascii="Arial" w:cs="Arial" w:eastAsia="Arial" w:hAnsi="Arial"/>
          <w:sz w:val="18"/>
          <w:szCs w:val="18"/>
          <w:u w:val="single" w:color="auto"/>
          <w:color w:val="auto"/>
        </w:rPr>
        <w:t>Assumption Agreement</w:t>
      </w:r>
      <w:r>
        <w:rPr>
          <w:rFonts w:ascii="Arial" w:cs="Arial" w:eastAsia="Arial" w:hAnsi="Arial"/>
          <w:sz w:val="18"/>
          <w:szCs w:val="18"/>
          <w:color w:val="auto"/>
        </w:rPr>
        <w:t>”), duly executed by such Eligible Assignee, the Agent and the Borrower; and</w:t>
      </w:r>
    </w:p>
    <w:p>
      <w:pPr>
        <w:spacing w:after="0" w:line="62" w:lineRule="exact"/>
        <w:rPr>
          <w:rFonts w:ascii="Arial" w:cs="Arial" w:eastAsia="Arial" w:hAnsi="Arial"/>
          <w:sz w:val="18"/>
          <w:szCs w:val="18"/>
          <w:color w:val="auto"/>
        </w:rPr>
      </w:pPr>
    </w:p>
    <w:p>
      <w:pPr>
        <w:ind w:left="440" w:right="620" w:firstLine="851"/>
        <w:spacing w:after="0" w:line="277" w:lineRule="auto"/>
        <w:tabs>
          <w:tab w:leader="none" w:pos="1601"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confirmation from each Increasing Lender of the increase in the amount of its Commitment in a writing satisfactory to the Borrower and the Agent.</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each Increase Date, upon fulfillment of the conditions set forth in the immediately preceding sentence of this Section 2.19(d), the Agent shall notify the Lenders (including, without limitation, each Assuming Lender) and the Borrower, on or before 1:00 p.m. (Pittsburgh, Pennsylvania time) of the occurrence of the Commitment Increase to be effected on such Increase Date and shall record in the Register the relevant information with respect to each Increasing Lender and each Assuming Lender on such date. Each Increasing Lender and each Assuming Lender shall, before 2:00 p.m. (Pittsburgh, Pennsylvania time) on the Increase Date,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57" w:name="page58"/>
    <w:bookmarkEnd w:id="57"/>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available for the account of its Applicable Lending Office to the Agent at the Agent’s Account, in same day funds, in the case of such Assuming Lender, an amount equal to such Assuming Lender’s ratable portion of the Revolving Credit Borrowings then outstanding (calculated based on its Ratable Share after giving effect to the relevant Commitment Increase) and, in the case of such Increasing Lender, an amount equal to the excess (if any) of (i) such Increasing Lender’s ratable portion of the Revolving Credit Borrowings then outstanding (calculated based on its Ratable Share after giving effect to the relevant Commitment Increase) over (ii) such Increasing Lender’s ratable portion of the Revolving Credit Borrowings then outstanding (calculated based on its Commitment (without giving effect to the relevant Commitment Increase) as a percentage of the aggregate Commitments (without giving effect to the relevant Commitment Increase)). After the Agent’s receipt of such funds from each such Increasing Lender and each such Assuming Lender, the Agent will promptly thereafter cause to be distributed like funds to the other Lenders for the account of their respective Applicable Lending Offices in an amount to each other Lender such that the aggregate amount of the outstanding Revolving Credit Advances owing to each Lender after giving effect to such distribution equals such Lender’s ratable portion of the Revolving Credit Borrowings then outstanding (calculated based on its Ratable Share after giving effect to the relevant Commitment Increase).</w:t>
      </w:r>
    </w:p>
    <w:p>
      <w:pPr>
        <w:spacing w:after="0" w:line="1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on each Increase Date, each Lender that is increasing its Commitment and each Assuming Lender that is joining this Agreement shall be deemed to have irrevocably and unconditionally purchased and received, without recourse or warranty, from the Lenders party to this Agreement immediately prior to the Increase Date, an undivided interest and participation in any Letter of Credit and Swing Line Advance then outstanding, ratably, such that each Lender (including each Lender increasing its Commitment and each Assuming Lender that is joining this Agreement) holds a participation interest in each such Letter of Credit and Swing Line Advance in the amount of its then Ratable Share thereof.</w:t>
      </w:r>
    </w:p>
    <w:p>
      <w:pPr>
        <w:spacing w:after="0" w:line="173" w:lineRule="exact"/>
        <w:rPr>
          <w:sz w:val="20"/>
          <w:szCs w:val="20"/>
          <w:color w:val="auto"/>
        </w:rPr>
      </w:pPr>
    </w:p>
    <w:p>
      <w:pPr>
        <w:ind w:right="180" w:firstLine="441"/>
        <w:spacing w:after="0" w:line="287" w:lineRule="auto"/>
        <w:rPr>
          <w:sz w:val="20"/>
          <w:szCs w:val="20"/>
          <w:color w:val="auto"/>
        </w:rPr>
      </w:pPr>
      <w:r>
        <w:rPr>
          <w:rFonts w:ascii="Arial" w:cs="Arial" w:eastAsia="Arial" w:hAnsi="Arial"/>
          <w:sz w:val="16"/>
          <w:szCs w:val="16"/>
          <w:color w:val="auto"/>
        </w:rPr>
        <w:t xml:space="preserve">Section 2.20 </w:t>
      </w:r>
      <w:r>
        <w:rPr>
          <w:rFonts w:ascii="Arial" w:cs="Arial" w:eastAsia="Arial" w:hAnsi="Arial"/>
          <w:sz w:val="16"/>
          <w:szCs w:val="16"/>
          <w:u w:val="single" w:color="auto"/>
          <w:color w:val="auto"/>
        </w:rPr>
        <w:t>Extension of Termination Date</w:t>
      </w:r>
      <w:r>
        <w:rPr>
          <w:rFonts w:ascii="Arial" w:cs="Arial" w:eastAsia="Arial" w:hAnsi="Arial"/>
          <w:sz w:val="16"/>
          <w:szCs w:val="16"/>
          <w:color w:val="auto"/>
        </w:rPr>
        <w:t>. Without any further action by or consent of the Lenders, the Termination Date shall be extended to June 26, 2024, if, on or before the date that is 364 days after the Effective Date, the Borrower shall have delivered to the Agent (each in form and substance satisfactory to the Agent) the following: (a) a copy of the securities certificate registered with the Pennsylvania Public Utility Commission (the “</w:t>
      </w:r>
      <w:r>
        <w:rPr>
          <w:rFonts w:ascii="Arial" w:cs="Arial" w:eastAsia="Arial" w:hAnsi="Arial"/>
          <w:sz w:val="16"/>
          <w:szCs w:val="16"/>
          <w:u w:val="single" w:color="auto"/>
          <w:color w:val="auto"/>
        </w:rPr>
        <w:t>Securities Certificate</w:t>
      </w:r>
      <w:r>
        <w:rPr>
          <w:rFonts w:ascii="Arial" w:cs="Arial" w:eastAsia="Arial" w:hAnsi="Arial"/>
          <w:sz w:val="16"/>
          <w:szCs w:val="16"/>
          <w:color w:val="auto"/>
        </w:rPr>
        <w:t>”) authorizing the Borrower’s incurring indebtedness hereunder with a maturity date of June 26, 2024, (b) an opinion of counsel to the Borrower (which may be in-house counsel) stating that (i) the Securities Certificate has been registered with the Pennsylvania Public Utility Commission in accordance with Chapter 19 of the Pennsylvania Public Utility Code and by virtue of such registration, authorizes the Borrower to incur indebtedness hereunder with a maturity date of June 26, 2024 and (ii) no other authorizations are required by the Pennsylvania Public Utility Commission or by any other Official Body having jurisdiction over the Borrower and (c) copies of corporate resolutions certified by the Secretary or Assistant Secretary of the Borrower, or such other evidence as may be satisfactory to the Agent, demonstrating that the Borrower’s incurrence of indebtedness hereunder with a maturity date of June 26, 2024 has been duly authorized by all necessary corporate action, together with an opinion of counsel to the Borrower (which may be in-house counsel) to such effect.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4" w:right="439" w:bottom="1440" w:gutter="0" w:footer="0" w:header="0"/>
        </w:sectPr>
      </w:pPr>
    </w:p>
    <w:bookmarkStart w:id="58" w:name="page59"/>
    <w:bookmarkEnd w:id="5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2.21 </w:t>
      </w:r>
      <w:r>
        <w:rPr>
          <w:rFonts w:ascii="Arial" w:cs="Arial" w:eastAsia="Arial" w:hAnsi="Arial"/>
          <w:sz w:val="16"/>
          <w:szCs w:val="16"/>
          <w:u w:val="single" w:color="auto"/>
          <w:color w:val="auto"/>
        </w:rPr>
        <w:t>Defaulting Lenders</w:t>
      </w:r>
      <w:r>
        <w:rPr>
          <w:rFonts w:ascii="Arial" w:cs="Arial" w:eastAsia="Arial" w:hAnsi="Arial"/>
          <w:sz w:val="16"/>
          <w:szCs w:val="16"/>
          <w:color w:val="auto"/>
        </w:rPr>
        <w:t>. Notwithstanding any provision of this Agreement to the contrary (including Sections 2.04(b) and 2.05(a)), if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 becomes a Defaulting Lender, then the following provisions shall apply for so long as such Lender is a Defaulting Lender:</w:t>
      </w:r>
    </w:p>
    <w:p>
      <w:pPr>
        <w:spacing w:after="0" w:line="103" w:lineRule="exact"/>
        <w:rPr>
          <w:sz w:val="20"/>
          <w:szCs w:val="20"/>
          <w:color w:val="auto"/>
        </w:rPr>
      </w:pPr>
    </w:p>
    <w:p>
      <w:pPr>
        <w:ind w:right="460" w:firstLine="885"/>
        <w:spacing w:after="0" w:line="264" w:lineRule="auto"/>
        <w:tabs>
          <w:tab w:leader="none" w:pos="1126" w:val="left"/>
        </w:tabs>
        <w:numPr>
          <w:ilvl w:val="1"/>
          <w:numId w:val="62"/>
        </w:numPr>
        <w:rPr>
          <w:rFonts w:ascii="Arial" w:cs="Arial" w:eastAsia="Arial" w:hAnsi="Arial"/>
          <w:sz w:val="18"/>
          <w:szCs w:val="18"/>
          <w:color w:val="auto"/>
        </w:rPr>
      </w:pPr>
      <w:r>
        <w:rPr>
          <w:rFonts w:ascii="Arial" w:cs="Arial" w:eastAsia="Arial" w:hAnsi="Arial"/>
          <w:sz w:val="18"/>
          <w:szCs w:val="18"/>
          <w:color w:val="auto"/>
        </w:rPr>
        <w:t>(i) 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spacing w:after="0" w:line="73" w:lineRule="exact"/>
        <w:rPr>
          <w:rFonts w:ascii="Arial" w:cs="Arial" w:eastAsia="Arial" w:hAnsi="Arial"/>
          <w:sz w:val="18"/>
          <w:szCs w:val="18"/>
          <w:color w:val="auto"/>
        </w:rPr>
      </w:pPr>
    </w:p>
    <w:p>
      <w:pPr>
        <w:ind w:left="440" w:right="20" w:firstLine="851"/>
        <w:spacing w:after="0" w:line="264" w:lineRule="auto"/>
        <w:tabs>
          <w:tab w:leader="none" w:pos="1551" w:val="left"/>
        </w:tabs>
        <w:numPr>
          <w:ilvl w:val="2"/>
          <w:numId w:val="62"/>
        </w:numPr>
        <w:rPr>
          <w:rFonts w:ascii="Arial" w:cs="Arial" w:eastAsia="Arial" w:hAnsi="Arial"/>
          <w:sz w:val="18"/>
          <w:szCs w:val="18"/>
          <w:color w:val="auto"/>
        </w:rPr>
      </w:pPr>
      <w:r>
        <w:rPr>
          <w:rFonts w:ascii="Arial" w:cs="Arial" w:eastAsia="Arial" w:hAnsi="Arial"/>
          <w:sz w:val="18"/>
          <w:szCs w:val="18"/>
          <w:color w:val="auto"/>
        </w:rPr>
        <w:t>No Defaulting Lender shall be entitled to receive fees payable pursuant to Section 2.04(b) for any period during which that Lender is a Defaulting Lender unless it has provided cash collateral pursuant to Section 2.21(c) but then, only to the extent allocable to its Ratable Share of the stated amount of Letters of Credit for which it has provided such cash collateral.</w:t>
      </w:r>
    </w:p>
    <w:p>
      <w:pPr>
        <w:spacing w:after="0" w:line="73" w:lineRule="exact"/>
        <w:rPr>
          <w:rFonts w:ascii="Arial" w:cs="Arial" w:eastAsia="Arial" w:hAnsi="Arial"/>
          <w:sz w:val="18"/>
          <w:szCs w:val="18"/>
          <w:color w:val="auto"/>
        </w:rPr>
      </w:pPr>
    </w:p>
    <w:p>
      <w:pPr>
        <w:ind w:left="1600" w:hanging="309"/>
        <w:spacing w:after="0"/>
        <w:tabs>
          <w:tab w:leader="none" w:pos="1600" w:val="left"/>
        </w:tabs>
        <w:numPr>
          <w:ilvl w:val="2"/>
          <w:numId w:val="62"/>
        </w:numPr>
        <w:rPr>
          <w:rFonts w:ascii="Arial" w:cs="Arial" w:eastAsia="Arial" w:hAnsi="Arial"/>
          <w:sz w:val="16"/>
          <w:szCs w:val="16"/>
          <w:color w:val="auto"/>
        </w:rPr>
      </w:pPr>
      <w:r>
        <w:rPr>
          <w:rFonts w:ascii="Arial" w:cs="Arial" w:eastAsia="Arial" w:hAnsi="Arial"/>
          <w:sz w:val="16"/>
          <w:szCs w:val="16"/>
          <w:color w:val="auto"/>
        </w:rPr>
        <w:t>With respect to any fees payable pursuant to Section 2.04(b) not required to be paid to any Defaulting Lender pursuant to clause</w:t>
      </w:r>
    </w:p>
    <w:p>
      <w:pPr>
        <w:spacing w:after="0" w:line="46" w:lineRule="exact"/>
        <w:rPr>
          <w:rFonts w:ascii="Arial" w:cs="Arial" w:eastAsia="Arial" w:hAnsi="Arial"/>
          <w:sz w:val="16"/>
          <w:szCs w:val="16"/>
          <w:color w:val="auto"/>
        </w:rPr>
      </w:pPr>
    </w:p>
    <w:p>
      <w:pPr>
        <w:ind w:left="440" w:right="20" w:firstLine="4"/>
        <w:spacing w:after="0" w:line="271" w:lineRule="auto"/>
        <w:tabs>
          <w:tab w:leader="none" w:pos="655" w:val="left"/>
        </w:tabs>
        <w:numPr>
          <w:ilvl w:val="0"/>
          <w:numId w:val="63"/>
        </w:numPr>
        <w:rPr>
          <w:rFonts w:ascii="Arial" w:cs="Arial" w:eastAsia="Arial" w:hAnsi="Arial"/>
          <w:sz w:val="17"/>
          <w:szCs w:val="17"/>
          <w:color w:val="auto"/>
        </w:rPr>
      </w:pPr>
      <w:r>
        <w:rPr>
          <w:rFonts w:ascii="Arial" w:cs="Arial" w:eastAsia="Arial" w:hAnsi="Arial"/>
          <w:sz w:val="17"/>
          <w:szCs w:val="17"/>
          <w:color w:val="auto"/>
        </w:rPr>
        <w:t>or (ii) above, the Borrower shall (x) pay to each Non-Defaulting Lender that portion of any such fee otherwise payable to such Defaulting Lender with respect to such Defaulting Lender’s participation in Letter of Credit Obligations or Swing Line Advances that has been reallocated to such Non-Defaulting Lender pursuant to clause (b) below, (y) pay to the Issuing Lender and the Swing Line Lender, as applicable, the amount of any such fee otherwise payable to such Defaulting Lender to the extent allocable to the Issuing Lender’s or the Swing Line Lender’s Fronting Exposure to such Defaulting Lender, and (z) not be required to pay the remaining amount of any such fee.</w:t>
      </w:r>
    </w:p>
    <w:p>
      <w:pPr>
        <w:spacing w:after="0" w:line="70" w:lineRule="exact"/>
        <w:rPr>
          <w:rFonts w:ascii="Arial" w:cs="Arial" w:eastAsia="Arial" w:hAnsi="Arial"/>
          <w:sz w:val="17"/>
          <w:szCs w:val="17"/>
          <w:color w:val="auto"/>
        </w:rPr>
      </w:pPr>
    </w:p>
    <w:p>
      <w:pPr>
        <w:ind w:firstLine="885"/>
        <w:spacing w:after="0" w:line="271" w:lineRule="auto"/>
        <w:tabs>
          <w:tab w:leader="none" w:pos="1136"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or any part of such Defaulting Lender’s participation in Letter of Credit Obligations and Swing Line Advances shall be reallocated among the Non-Defaulting Lenders in accordance with their respective Ratable Shares (calculated without regard to such Defaulting Lender’s Commitment) but only to the extent that such reallocation does not cause the aggregate Revolving Facility Usage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If the reallocation described above in this clause cannot, or can only partially, be effected, the Borrower shall, without prejudice to any right or remedy available to it hereunder or under law, cash collateralize the Issuing Lender’s and the Swing Line Lender’s Fronting Exposure as follows:</w:t>
      </w:r>
    </w:p>
    <w:p>
      <w:pPr>
        <w:spacing w:after="0" w:line="70" w:lineRule="exact"/>
        <w:rPr>
          <w:rFonts w:ascii="Arial" w:cs="Arial" w:eastAsia="Arial" w:hAnsi="Arial"/>
          <w:sz w:val="17"/>
          <w:szCs w:val="17"/>
          <w:color w:val="auto"/>
        </w:rPr>
      </w:pPr>
    </w:p>
    <w:p>
      <w:pPr>
        <w:ind w:left="440" w:firstLine="851"/>
        <w:spacing w:after="0" w:line="257" w:lineRule="auto"/>
        <w:tabs>
          <w:tab w:leader="none" w:pos="1501" w:val="left"/>
        </w:tabs>
        <w:numPr>
          <w:ilvl w:val="2"/>
          <w:numId w:val="63"/>
        </w:numPr>
        <w:rPr>
          <w:rFonts w:ascii="Arial" w:cs="Arial" w:eastAsia="Arial" w:hAnsi="Arial"/>
          <w:sz w:val="18"/>
          <w:szCs w:val="18"/>
          <w:color w:val="auto"/>
        </w:rPr>
      </w:pPr>
      <w:r>
        <w:rPr>
          <w:rFonts w:ascii="Arial" w:cs="Arial" w:eastAsia="Arial" w:hAnsi="Arial"/>
          <w:sz w:val="18"/>
          <w:szCs w:val="18"/>
          <w:color w:val="auto"/>
        </w:rPr>
        <w:t>to the extent that all or any part of such Defaulting Lender’s pro rata portion of Swing Line Advances cannot be reallocated pursuant to Section 2.21(b), then the Borrower shall (A) within 15 days following notice from the Agent until such Defaulting Lender ceases to be a Defaulting Lender under this Agreement, establish and, thereafter, maintain a special collateral account (the “</w:t>
      </w:r>
      <w:r>
        <w:rPr>
          <w:rFonts w:ascii="Arial" w:cs="Arial" w:eastAsia="Arial" w:hAnsi="Arial"/>
          <w:sz w:val="18"/>
          <w:szCs w:val="18"/>
          <w:u w:val="single" w:color="auto"/>
          <w:color w:val="auto"/>
        </w:rPr>
        <w:t>Swing Line Collateral Account</w:t>
      </w:r>
      <w:r>
        <w:rPr>
          <w:rFonts w:ascii="Arial" w:cs="Arial" w:eastAsia="Arial" w:hAnsi="Arial"/>
          <w:sz w:val="18"/>
          <w:szCs w:val="18"/>
          <w:color w:val="auto"/>
        </w:rPr>
        <w:t>”) with the Agent, in the name of the Borrower but under the sole dominion and control of the Agent, (B) grant to the Agent for the benefit of the Swing Line Lender and the other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59" w:name="page60"/>
    <w:bookmarkEnd w:id="59"/>
    <w:p>
      <w:pPr>
        <w:ind w:left="436"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Lenders, solely as security for repayment of the unallocated portion of such Defaulting Lender’s Ratable Share of outstanding Swing Line Advances, a security interest in and to the Swing Line Collateral Account and any funds that may thereafter be deposited therein and (C) maintain in the Swing Line Collateral Account an amount equal to the unallocated portion of such Defaulting Lender’s Ratable Share of outstanding Swing Line Advances; and</w:t>
      </w:r>
    </w:p>
    <w:p>
      <w:pPr>
        <w:spacing w:after="0" w:line="79" w:lineRule="exact"/>
        <w:rPr>
          <w:sz w:val="20"/>
          <w:szCs w:val="20"/>
          <w:color w:val="auto"/>
        </w:rPr>
      </w:pPr>
    </w:p>
    <w:p>
      <w:pPr>
        <w:ind w:left="436" w:firstLine="851"/>
        <w:spacing w:after="0" w:line="271" w:lineRule="auto"/>
        <w:tabs>
          <w:tab w:leader="none" w:pos="1547" w:val="left"/>
        </w:tabs>
        <w:numPr>
          <w:ilvl w:val="2"/>
          <w:numId w:val="64"/>
        </w:numPr>
        <w:rPr>
          <w:rFonts w:ascii="Arial" w:cs="Arial" w:eastAsia="Arial" w:hAnsi="Arial"/>
          <w:sz w:val="17"/>
          <w:szCs w:val="17"/>
          <w:color w:val="auto"/>
        </w:rPr>
      </w:pPr>
      <w:r>
        <w:rPr>
          <w:rFonts w:ascii="Arial" w:cs="Arial" w:eastAsia="Arial" w:hAnsi="Arial"/>
          <w:sz w:val="17"/>
          <w:szCs w:val="17"/>
          <w:color w:val="auto"/>
        </w:rPr>
        <w:t>to the extent that all or any part of such Defaulting Lender’s participations in outstanding Letters of Credit cannot be reallocated pursuant to Section 2.21(b), then the Borrower (A) shall, within 15 days following notice from the Agent until such Defaulting Lender ceases to be a Defaulting Lender under this Agreement, establish and, thereafter, maintain a special collateral account (the “</w:t>
      </w:r>
      <w:r>
        <w:rPr>
          <w:rFonts w:ascii="Arial" w:cs="Arial" w:eastAsia="Arial" w:hAnsi="Arial"/>
          <w:sz w:val="17"/>
          <w:szCs w:val="17"/>
          <w:u w:val="single" w:color="auto"/>
          <w:color w:val="auto"/>
        </w:rPr>
        <w:t>Letter of Credit Collateral</w:t>
      </w:r>
      <w:r>
        <w:rPr>
          <w:rFonts w:ascii="Arial" w:cs="Arial" w:eastAsia="Arial" w:hAnsi="Arial"/>
          <w:sz w:val="17"/>
          <w:szCs w:val="17"/>
          <w:color w:val="auto"/>
        </w:rPr>
        <w:t xml:space="preserve"> </w:t>
      </w:r>
      <w:r>
        <w:rPr>
          <w:rFonts w:ascii="Arial" w:cs="Arial" w:eastAsia="Arial" w:hAnsi="Arial"/>
          <w:sz w:val="17"/>
          <w:szCs w:val="17"/>
          <w:u w:val="single" w:color="auto"/>
          <w:color w:val="auto"/>
        </w:rPr>
        <w:t>Account</w:t>
      </w:r>
      <w:r>
        <w:rPr>
          <w:rFonts w:ascii="Arial" w:cs="Arial" w:eastAsia="Arial" w:hAnsi="Arial"/>
          <w:sz w:val="17"/>
          <w:szCs w:val="17"/>
          <w:color w:val="auto"/>
        </w:rPr>
        <w:t>”) with the Agent in the name of the Borrower but under the sole dominion and control of the Agent, (B) grant to the Agent for the benefit of the Issuing Lenders and the other Lenders, as security for the unallocated portion of such Defaulting Lender’s Ratable Share of all Letter of Credit Obligations, a security interest in the Letter of Credit Collateral Account and any funds that may be deposited therein and (C) shall maintain in the Letter of Credit Collateral Account an amount equal to the unallocated portion of such Defaulting Lender’s Ratable Share of all Letter of Credit Obligations, regardless of whether any Letters of Credit have then been drawn;</w:t>
      </w:r>
    </w:p>
    <w:p>
      <w:pPr>
        <w:spacing w:after="0" w:line="70" w:lineRule="exact"/>
        <w:rPr>
          <w:rFonts w:ascii="Arial" w:cs="Arial" w:eastAsia="Arial" w:hAnsi="Arial"/>
          <w:sz w:val="17"/>
          <w:szCs w:val="17"/>
          <w:color w:val="auto"/>
        </w:rPr>
      </w:pPr>
    </w:p>
    <w:p>
      <w:pPr>
        <w:ind w:left="-4" w:firstLine="885"/>
        <w:spacing w:after="0" w:line="273" w:lineRule="auto"/>
        <w:tabs>
          <w:tab w:leader="none" w:pos="1122" w:val="left"/>
        </w:tabs>
        <w:numPr>
          <w:ilvl w:val="1"/>
          <w:numId w:val="65"/>
        </w:numPr>
        <w:rPr>
          <w:rFonts w:ascii="Arial" w:cs="Arial" w:eastAsia="Arial" w:hAnsi="Arial"/>
          <w:sz w:val="17"/>
          <w:szCs w:val="17"/>
          <w:color w:val="auto"/>
        </w:rPr>
      </w:pPr>
      <w:r>
        <w:rPr>
          <w:rFonts w:ascii="Arial" w:cs="Arial" w:eastAsia="Arial" w:hAnsi="Arial"/>
          <w:sz w:val="17"/>
          <w:szCs w:val="17"/>
          <w:color w:val="auto"/>
        </w:rPr>
        <w:t>So long as any Lender is a Defaulting Lender, (i) the Swing Line Lender shall not be required to, but in its sole discretion may from time to time elect to, fund any Swing Line Advance, (ii) no Issuing Lender shall be required to, but in its sole discretion may from time to time elect to, issue, amend or increase any Letter of Credit, unless in each case it is satisfied in its sole discretion that the related exposure will be 100% covered by the Non-Defaulting Lenders and/or cash collateral will be provided by the Borrower in accordance with Section 2.21(b) and (iii) participating interests in any newly made Swing Line Advance or any newly issued or increased Letter of Credit shall be allocated among Non-Defaulting Lenders in a manner consistent with Section 2.21(b) (and such Defaulting Lender shall not participate therein);</w:t>
      </w:r>
    </w:p>
    <w:p>
      <w:pPr>
        <w:spacing w:after="0" w:line="70" w:lineRule="exact"/>
        <w:rPr>
          <w:rFonts w:ascii="Arial" w:cs="Arial" w:eastAsia="Arial" w:hAnsi="Arial"/>
          <w:sz w:val="17"/>
          <w:szCs w:val="17"/>
          <w:color w:val="auto"/>
        </w:rPr>
      </w:pPr>
    </w:p>
    <w:p>
      <w:pPr>
        <w:ind w:left="-4" w:right="20" w:firstLine="885"/>
        <w:spacing w:after="0" w:line="284" w:lineRule="auto"/>
        <w:tabs>
          <w:tab w:leader="none" w:pos="1133"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Any payment of principal, interest, fees or other amounts received by the Agent for the account of such Defaulting Lender (whether voluntary or mandatory, at maturity, pursuant to Article VI or otherwise) or received by the Agent from a Defaulting Lender pursuant to Section 8.05 shall be applied at such time or times as may be determined by the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of any amounts owing by such Defaulting Lender to the Issuing Lender or the Swing Line Lender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cash collateralize the Issuing Lender’s and the Swing Line Lender’s Fronting Exposure with respect to such Defaulting Lender in accordance with clause (b) above;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Borrower may request (so long as no Default or Event of Default exists), to the funding of any Advance in respect of which such Defaulting Lender has failed to fund its portion thereof as required by this Agreement, as determined by the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if so determined by the Agent and the Borrower, to be held in a deposit account and released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order to</w:t>
      </w:r>
    </w:p>
    <w:p>
      <w:pPr>
        <w:spacing w:after="0" w:line="1" w:lineRule="exact"/>
        <w:rPr>
          <w:rFonts w:ascii="Arial" w:cs="Arial" w:eastAsia="Arial" w:hAnsi="Arial"/>
          <w:sz w:val="16"/>
          <w:szCs w:val="16"/>
          <w:color w:val="auto"/>
        </w:rPr>
      </w:pPr>
    </w:p>
    <w:p>
      <w:pPr>
        <w:ind w:left="-4" w:right="260" w:firstLine="4"/>
        <w:spacing w:after="0" w:line="261" w:lineRule="auto"/>
        <w:tabs>
          <w:tab w:leader="none" w:pos="211"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satisfy such Defaulting Lender’s potential future funding obligations with respect to Advances under this Agreement and (ii) cash collateralize the Issuing Lender’s future Fronting Exposure with respect to such</w:t>
      </w:r>
    </w:p>
    <w:p>
      <w:pPr>
        <w:spacing w:after="0" w:line="116"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96"/>
          </w:cols>
          <w:pgMar w:left="444" w:top="274" w:right="459" w:bottom="1440" w:gutter="0" w:footer="0" w:header="0"/>
        </w:sectPr>
      </w:pPr>
    </w:p>
    <w:bookmarkStart w:id="60" w:name="page61"/>
    <w:bookmarkEnd w:id="6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Defaulting Lender with respect to future Letters of Credit issued under this Agreement, in accordance with clause (b) above;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to the payment of any amounts owing to the Lenders, the Issuing Lender or the Swing Line Lender as a result of any judgment of a court of competent jurisdiction obtained by any Lender, the Issuing Lender or the Swing Line Lender against such Defaulting Lender as a result of such Defaulting Lender’s breach of its obligations under this Agreement; </w:t>
      </w:r>
      <w:r>
        <w:rPr>
          <w:rFonts w:ascii="Arial" w:cs="Arial" w:eastAsia="Arial" w:hAnsi="Arial"/>
          <w:sz w:val="17"/>
          <w:szCs w:val="17"/>
          <w:u w:val="single" w:color="auto"/>
          <w:color w:val="auto"/>
        </w:rPr>
        <w:t>seventh</w:t>
      </w:r>
      <w:r>
        <w:rPr>
          <w:rFonts w:ascii="Arial" w:cs="Arial" w:eastAsia="Arial" w:hAnsi="Arial"/>
          <w:sz w:val="17"/>
          <w:szCs w:val="17"/>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7"/>
          <w:szCs w:val="17"/>
          <w:u w:val="single" w:color="auto"/>
          <w:color w:val="auto"/>
        </w:rPr>
        <w:t>eighth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Advances or Letter of Credit Obligations in respect of which such Defaulting Lender has not fully funded its appropriate share, and (y) such Advances were made or the related Letters of Credit were issued at a time when the conditions set forth in Section 3.02 were satisfied or waived, such payment shall be applied solely to pay the Advances of, and Letter of Credit Obligations owed to, all Non-Defaulting Lenders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prior to being applied to the payment of any Advances of, or Letter of Credit Obligations owed to, such Defaulting Lender until such time as all Advances and funded and unfunded participations in Letter of Credit Obligations and Swing Line Advances are held by the Lenders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their respective Ratable Shares without giving effect to Section 2.21(b). Any payments, prepayments or other amounts paid or payable to a Defaulting Lender that are applied (or held) to pay amounts owed by a Defaulting Lender or to post cash collateral pursuant to this Section 2.21(d) shall be deemed paid to and redirected by such Defaulting Lender, and each Lender irrevocably consents hereto; and</w:t>
      </w:r>
    </w:p>
    <w:p>
      <w:pPr>
        <w:spacing w:after="0" w:line="75" w:lineRule="exact"/>
        <w:rPr>
          <w:sz w:val="20"/>
          <w:szCs w:val="20"/>
          <w:color w:val="auto"/>
        </w:rPr>
      </w:pPr>
    </w:p>
    <w:p>
      <w:pPr>
        <w:ind w:firstLine="885"/>
        <w:spacing w:after="0" w:line="276" w:lineRule="auto"/>
        <w:tabs>
          <w:tab w:leader="none" w:pos="1126"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the event that the Borrower, the Agent, the Issuing Lender and the Swing Line Lender each agrees that a Defaulting Lender has adequately remedied all matters that caused such Lender to be a Defaulting Lender, then the Swing Line Advances and the Letter of Credit participations of the Lenders shall be readjusted to reflect the inclusion of such Lender’s Ratable Share and on such date such Lender shall purchase at par such of the Revolving Credit Advances of the other Lenders as the Agent shall determine may be necessary in order for such Lender to hold such Revolving Credit Advances in accordance with its Ratable Share (without giving effect to Section 2.21(b)).</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117" w:lineRule="exact"/>
        <w:rPr>
          <w:sz w:val="20"/>
          <w:szCs w:val="20"/>
          <w:color w:val="auto"/>
        </w:rPr>
      </w:pPr>
    </w:p>
    <w:p>
      <w:pPr>
        <w:ind w:right="40" w:firstLine="885"/>
        <w:spacing w:after="0" w:line="291" w:lineRule="auto"/>
        <w:tabs>
          <w:tab w:leader="none" w:pos="1126"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In addition to the provisions in Section 2.13, if any Lender requests compensation under Section 2.12, or requires the Borrower to pay any additional amount to any Lender or any Official Body for the account of any Lender pursuant to Section 2.15, then such Lender shall (at the request of the Borrower) use reasonable efforts to designate a different lending office for funding or booking its Advances hereunder or to assign its rights and obligations hereunder to another of its offices, branches or affiliates, if, in the judgment of such Lender, such designation or assignment (i) would eliminate or reduce amounts payable pursuant to Section 2.12 or Section 2.15,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61" w:name="page62"/>
    <w:bookmarkEnd w:id="61"/>
    <w:p>
      <w:pPr>
        <w:ind w:right="140" w:firstLine="885"/>
        <w:spacing w:after="0" w:line="291" w:lineRule="auto"/>
        <w:tabs>
          <w:tab w:leader="none" w:pos="1136"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Replacement of Lenders</w:t>
      </w:r>
      <w:r>
        <w:rPr>
          <w:rFonts w:ascii="Arial" w:cs="Arial" w:eastAsia="Arial" w:hAnsi="Arial"/>
          <w:sz w:val="16"/>
          <w:szCs w:val="16"/>
          <w:color w:val="auto"/>
        </w:rPr>
        <w:t xml:space="preserve">. If any Lender requests compensation under Section 2.12, or if the Borrower is required to pay additional amounts to any Lender or any Official Body for the account of any Lender pursuant to Section 2.15 and, in each case, such Lender has declined or is unable to designate a different lending office in accordance with Section 2.22(a), or if any Lender is a Defaulting Lender hereunder or becomes a Non-Consenting Lender, or any Lender gives a notice under Section 2.13, then the Borrower may, at its sole expense and effort, upon notice to such Lender and the Agent, require such Lender to assign and delegate, without recourse (in accordance with and subject to the restrictions contained in, and consents required by, Section 8.07), all of its interests, rights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59" w:lineRule="exact"/>
        <w:rPr>
          <w:rFonts w:ascii="Arial" w:cs="Arial" w:eastAsia="Arial" w:hAnsi="Arial"/>
          <w:sz w:val="16"/>
          <w:szCs w:val="16"/>
          <w:color w:val="auto"/>
        </w:rPr>
      </w:pPr>
    </w:p>
    <w:p>
      <w:pPr>
        <w:ind w:left="1500" w:hanging="209"/>
        <w:spacing w:after="0"/>
        <w:tabs>
          <w:tab w:leader="none" w:pos="15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Borrower shall have paid to the Agent the assignment fee (if any) specified in Section 8.07;</w:t>
      </w:r>
    </w:p>
    <w:p>
      <w:pPr>
        <w:spacing w:after="0" w:line="117" w:lineRule="exact"/>
        <w:rPr>
          <w:rFonts w:ascii="Arial" w:cs="Arial" w:eastAsia="Arial" w:hAnsi="Arial"/>
          <w:sz w:val="18"/>
          <w:szCs w:val="18"/>
          <w:color w:val="auto"/>
        </w:rPr>
      </w:pPr>
    </w:p>
    <w:p>
      <w:pPr>
        <w:ind w:left="440" w:right="100" w:firstLine="851"/>
        <w:spacing w:after="0" w:line="259" w:lineRule="auto"/>
        <w:tabs>
          <w:tab w:leader="none" w:pos="1551" w:val="left"/>
        </w:tabs>
        <w:numPr>
          <w:ilvl w:val="1"/>
          <w:numId w:val="69"/>
        </w:numPr>
        <w:rPr>
          <w:rFonts w:ascii="Arial" w:cs="Arial" w:eastAsia="Arial" w:hAnsi="Arial"/>
          <w:sz w:val="18"/>
          <w:szCs w:val="18"/>
          <w:color w:val="auto"/>
        </w:rPr>
      </w:pPr>
      <w:r>
        <w:rPr>
          <w:rFonts w:ascii="Arial" w:cs="Arial" w:eastAsia="Arial" w:hAnsi="Arial"/>
          <w:sz w:val="18"/>
          <w:szCs w:val="18"/>
          <w:color w:val="auto"/>
        </w:rPr>
        <w:t>such Lender shall have received payment of an amount equal to the outstanding principal of its Advances and participations in Letters of Credit, accrued interest thereon, accrued fees and all other amounts payable to it hereunder and under the other Loan Documents (including any amounts under Section 8.04(c)) from the assignee (to the extent of such outstanding principal and accrued interest and fees) or the Borrower (in the case of all other amounts);</w:t>
      </w:r>
    </w:p>
    <w:p>
      <w:pPr>
        <w:spacing w:after="0" w:line="78" w:lineRule="exact"/>
        <w:rPr>
          <w:rFonts w:ascii="Arial" w:cs="Arial" w:eastAsia="Arial" w:hAnsi="Arial"/>
          <w:sz w:val="18"/>
          <w:szCs w:val="18"/>
          <w:color w:val="auto"/>
        </w:rPr>
      </w:pPr>
    </w:p>
    <w:p>
      <w:pPr>
        <w:ind w:left="440" w:right="160" w:firstLine="851"/>
        <w:spacing w:after="0" w:line="308" w:lineRule="auto"/>
        <w:tabs>
          <w:tab w:leader="none" w:pos="1601" w:val="left"/>
        </w:tabs>
        <w:numPr>
          <w:ilvl w:val="1"/>
          <w:numId w:val="69"/>
        </w:numPr>
        <w:rPr>
          <w:rFonts w:ascii="Arial" w:cs="Arial" w:eastAsia="Arial" w:hAnsi="Arial"/>
          <w:sz w:val="17"/>
          <w:szCs w:val="17"/>
          <w:color w:val="auto"/>
        </w:rPr>
      </w:pPr>
      <w:r>
        <w:rPr>
          <w:rFonts w:ascii="Arial" w:cs="Arial" w:eastAsia="Arial" w:hAnsi="Arial"/>
          <w:sz w:val="17"/>
          <w:szCs w:val="17"/>
          <w:color w:val="auto"/>
        </w:rPr>
        <w:t>in the case of any such assignment resulting from a claim for compensation under Section 2.12 or payments required to be made pursuant to Section 2.15, such assignment will result in a reduction in such compensation or payments thereafter;</w:t>
      </w:r>
    </w:p>
    <w:p>
      <w:pPr>
        <w:spacing w:after="0" w:line="38" w:lineRule="exact"/>
        <w:rPr>
          <w:rFonts w:ascii="Arial" w:cs="Arial" w:eastAsia="Arial" w:hAnsi="Arial"/>
          <w:sz w:val="17"/>
          <w:szCs w:val="17"/>
          <w:color w:val="auto"/>
        </w:rPr>
      </w:pPr>
    </w:p>
    <w:p>
      <w:pPr>
        <w:ind w:left="1600" w:hanging="309"/>
        <w:spacing w:after="0"/>
        <w:tabs>
          <w:tab w:leader="none" w:pos="16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such assignment does not conflict with Law; and</w:t>
      </w:r>
    </w:p>
    <w:p>
      <w:pPr>
        <w:spacing w:after="0" w:line="117" w:lineRule="exact"/>
        <w:rPr>
          <w:rFonts w:ascii="Arial" w:cs="Arial" w:eastAsia="Arial" w:hAnsi="Arial"/>
          <w:sz w:val="18"/>
          <w:szCs w:val="18"/>
          <w:color w:val="auto"/>
        </w:rPr>
      </w:pPr>
    </w:p>
    <w:p>
      <w:pPr>
        <w:ind w:left="440" w:right="360" w:firstLine="851"/>
        <w:spacing w:after="0" w:line="277" w:lineRule="auto"/>
        <w:tabs>
          <w:tab w:leader="none" w:pos="1541"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the case of any assignment resulting from a Lender becoming a Non- Consenting Lender, the applicable assignee shall have consented to the applicable amendment, waiver or consent.</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to cease to apply.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TO EFFECTIVENESS AND LENDING</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Effectiveness</w:t>
      </w:r>
      <w:r>
        <w:rPr>
          <w:rFonts w:ascii="Arial" w:cs="Arial" w:eastAsia="Arial" w:hAnsi="Arial"/>
          <w:sz w:val="18"/>
          <w:szCs w:val="18"/>
          <w:color w:val="auto"/>
        </w:rPr>
        <w:t>. This Agreement shall become effective, and the obligations of the Lenders to make Revolving Credit Advances and of the Issuing Lenders to issue Letters of Credit hereunder shall become effective, on and as of the first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on which the following conditions precedent have been satisfied: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62" w:name="page63"/>
    <w:bookmarkEnd w:id="62"/>
    <w:p>
      <w:pPr>
        <w:ind w:left="1060" w:hanging="255"/>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shall have occurred no Material Adverse Change since September 30, 2018.</w:t>
      </w:r>
    </w:p>
    <w:p>
      <w:pPr>
        <w:spacing w:after="0" w:line="117" w:lineRule="exact"/>
        <w:rPr>
          <w:rFonts w:ascii="Arial" w:cs="Arial" w:eastAsia="Arial" w:hAnsi="Arial"/>
          <w:sz w:val="18"/>
          <w:szCs w:val="18"/>
          <w:color w:val="auto"/>
        </w:rPr>
      </w:pPr>
    </w:p>
    <w:p>
      <w:pPr>
        <w:ind w:left="-80" w:right="60" w:firstLine="885"/>
        <w:spacing w:after="0" w:line="257" w:lineRule="auto"/>
        <w:tabs>
          <w:tab w:leader="none" w:pos="105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There shall exist no action, suit, investigation, litigation or proceeding affecting the Borrower or any of its Subsidiaries pending or threatened before any court, governmental agency or arbitrator that (i) would be reasonably likely to have a Material Adverse Effect other than the matters disclosed in the SEC Reports prior to the date hereof (the “</w:t>
      </w:r>
      <w:r>
        <w:rPr>
          <w:rFonts w:ascii="Arial" w:cs="Arial" w:eastAsia="Arial" w:hAnsi="Arial"/>
          <w:sz w:val="18"/>
          <w:szCs w:val="18"/>
          <w:u w:val="single" w:color="auto"/>
          <w:color w:val="auto"/>
        </w:rPr>
        <w:t>Disclosed Litigation</w:t>
      </w:r>
      <w:r>
        <w:rPr>
          <w:rFonts w:ascii="Arial" w:cs="Arial" w:eastAsia="Arial" w:hAnsi="Arial"/>
          <w:sz w:val="18"/>
          <w:szCs w:val="18"/>
          <w:color w:val="auto"/>
        </w:rPr>
        <w:t>”) or (ii) purports to affect the legality, validity or enforceability of this Agreement or any Note or the consummation of the transactions contemplated hereby, and there shall have been no change in the Disclosed Litigation that would have a Material Adverse Effect.</w:t>
      </w:r>
    </w:p>
    <w:p>
      <w:pPr>
        <w:spacing w:after="0" w:line="80" w:lineRule="exact"/>
        <w:rPr>
          <w:rFonts w:ascii="Arial" w:cs="Arial" w:eastAsia="Arial" w:hAnsi="Arial"/>
          <w:sz w:val="18"/>
          <w:szCs w:val="18"/>
          <w:color w:val="auto"/>
        </w:rPr>
      </w:pPr>
    </w:p>
    <w:p>
      <w:pPr>
        <w:ind w:left="-80" w:firstLine="885"/>
        <w:spacing w:after="0" w:line="259" w:lineRule="auto"/>
        <w:tabs>
          <w:tab w:leader="none" w:pos="1046"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governmental and third party consents and approvals necessary in connection with the transactions contemplated hereby shall have been obtained (without the imposition of any conditions that are not acceptable to the Lenders) and shall remain in effect, and no law or regulation shall be applicable in the reasonable judgment of the Lenders that restrains, prevents or imposes materially adverse conditions upon the transactions contemplated hereby.</w:t>
      </w:r>
    </w:p>
    <w:p>
      <w:pPr>
        <w:spacing w:after="0" w:line="78" w:lineRule="exact"/>
        <w:rPr>
          <w:rFonts w:ascii="Arial" w:cs="Arial" w:eastAsia="Arial" w:hAnsi="Arial"/>
          <w:sz w:val="18"/>
          <w:szCs w:val="18"/>
          <w:color w:val="auto"/>
        </w:rPr>
      </w:pPr>
    </w:p>
    <w:p>
      <w:pPr>
        <w:ind w:left="1060" w:hanging="255"/>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Borrower shall have notified the Agent in writing as to the proposed Effective Date.</w:t>
      </w:r>
    </w:p>
    <w:p>
      <w:pPr>
        <w:spacing w:after="0" w:line="117" w:lineRule="exact"/>
        <w:rPr>
          <w:rFonts w:ascii="Arial" w:cs="Arial" w:eastAsia="Arial" w:hAnsi="Arial"/>
          <w:sz w:val="18"/>
          <w:szCs w:val="18"/>
          <w:color w:val="auto"/>
        </w:rPr>
      </w:pPr>
    </w:p>
    <w:p>
      <w:pPr>
        <w:ind w:left="-80" w:firstLine="885"/>
        <w:spacing w:after="0" w:line="308" w:lineRule="auto"/>
        <w:tabs>
          <w:tab w:leader="none" w:pos="1046"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Borrower shall have paid, or will pay with the initial Advance on the Effective Date, all accrued fees and expenses of the Agent and the Lenders (including, to the extent invoiced, the reasonable and documented accrued fees and expenses of counsel to the Agent).</w:t>
      </w:r>
    </w:p>
    <w:p>
      <w:pPr>
        <w:spacing w:after="0" w:line="38" w:lineRule="exact"/>
        <w:rPr>
          <w:rFonts w:ascii="Arial" w:cs="Arial" w:eastAsia="Arial" w:hAnsi="Arial"/>
          <w:sz w:val="17"/>
          <w:szCs w:val="17"/>
          <w:color w:val="auto"/>
        </w:rPr>
      </w:pPr>
    </w:p>
    <w:p>
      <w:pPr>
        <w:ind w:left="-80" w:right="80" w:firstLine="885"/>
        <w:spacing w:after="0" w:line="277" w:lineRule="auto"/>
        <w:tabs>
          <w:tab w:leader="none" w:pos="1026"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 the Effective Date, the following statements shall be true and the Agent shall have received a certificate signed by a duly authorized officer of the Borrower, dated the Effective Date, stating that:</w:t>
      </w:r>
    </w:p>
    <w:p>
      <w:pPr>
        <w:spacing w:after="0" w:line="62" w:lineRule="exact"/>
        <w:rPr>
          <w:rFonts w:ascii="Arial" w:cs="Arial" w:eastAsia="Arial" w:hAnsi="Arial"/>
          <w:sz w:val="18"/>
          <w:szCs w:val="18"/>
          <w:color w:val="auto"/>
        </w:rPr>
      </w:pPr>
    </w:p>
    <w:p>
      <w:pPr>
        <w:jc w:val="both"/>
        <w:ind w:left="360" w:right="100" w:firstLine="851"/>
        <w:spacing w:after="0" w:line="264" w:lineRule="auto"/>
        <w:tabs>
          <w:tab w:leader="none" w:pos="1421"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are correct in all material respects (except that any representation or warranty which is already qualified as to materiality or by reference to a Material Adverse Effect shall be correct in all respects) on and as of the Effective Date,</w:t>
      </w:r>
    </w:p>
    <w:p>
      <w:pPr>
        <w:spacing w:after="0" w:line="73" w:lineRule="exact"/>
        <w:rPr>
          <w:rFonts w:ascii="Arial" w:cs="Arial" w:eastAsia="Arial" w:hAnsi="Arial"/>
          <w:sz w:val="18"/>
          <w:szCs w:val="18"/>
          <w:color w:val="auto"/>
        </w:rPr>
      </w:pPr>
    </w:p>
    <w:p>
      <w:pPr>
        <w:ind w:left="1480" w:hanging="269"/>
        <w:spacing w:after="0"/>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 Material Adverse Change has occurred since September 30, 2018, and</w:t>
      </w:r>
    </w:p>
    <w:p>
      <w:pPr>
        <w:spacing w:after="0" w:line="117" w:lineRule="exact"/>
        <w:rPr>
          <w:rFonts w:ascii="Arial" w:cs="Arial" w:eastAsia="Arial" w:hAnsi="Arial"/>
          <w:sz w:val="18"/>
          <w:szCs w:val="18"/>
          <w:color w:val="auto"/>
        </w:rPr>
      </w:pPr>
    </w:p>
    <w:p>
      <w:pPr>
        <w:ind w:left="1520" w:hanging="309"/>
        <w:spacing w:after="0"/>
        <w:tabs>
          <w:tab w:leader="none" w:pos="15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 event has occurred and is continuing that constitutes a Default.</w:t>
      </w:r>
    </w:p>
    <w:p>
      <w:pPr>
        <w:spacing w:after="0" w:line="117" w:lineRule="exact"/>
        <w:rPr>
          <w:rFonts w:ascii="Arial" w:cs="Arial" w:eastAsia="Arial" w:hAnsi="Arial"/>
          <w:sz w:val="18"/>
          <w:szCs w:val="18"/>
          <w:color w:val="auto"/>
        </w:rPr>
      </w:pPr>
    </w:p>
    <w:p>
      <w:pPr>
        <w:ind w:left="-80" w:right="40" w:firstLine="885"/>
        <w:spacing w:after="0" w:line="277" w:lineRule="auto"/>
        <w:tabs>
          <w:tab w:leader="none" w:pos="105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Agent shall have received the following, each dated the Effective Date, in form and substance satisfactory to the Agent and (except for the Revolving Credit Notes and the Swing Line Note) in sufficient copies for each Lender:</w:t>
      </w:r>
    </w:p>
    <w:p>
      <w:pPr>
        <w:spacing w:after="0" w:line="62" w:lineRule="exact"/>
        <w:rPr>
          <w:rFonts w:ascii="Arial" w:cs="Arial" w:eastAsia="Arial" w:hAnsi="Arial"/>
          <w:sz w:val="18"/>
          <w:szCs w:val="18"/>
          <w:color w:val="auto"/>
        </w:rPr>
      </w:pPr>
    </w:p>
    <w:p>
      <w:pPr>
        <w:ind w:left="360" w:right="340" w:firstLine="851"/>
        <w:spacing w:after="0" w:line="342" w:lineRule="auto"/>
        <w:tabs>
          <w:tab w:leader="none" w:pos="1421" w:val="left"/>
        </w:tabs>
        <w:numPr>
          <w:ilvl w:val="1"/>
          <w:numId w:val="70"/>
        </w:numPr>
        <w:rPr>
          <w:rFonts w:ascii="Arial" w:cs="Arial" w:eastAsia="Arial" w:hAnsi="Arial"/>
          <w:sz w:val="16"/>
          <w:szCs w:val="16"/>
          <w:color w:val="auto"/>
        </w:rPr>
      </w:pPr>
      <w:r>
        <w:rPr>
          <w:rFonts w:ascii="Arial" w:cs="Arial" w:eastAsia="Arial" w:hAnsi="Arial"/>
          <w:sz w:val="16"/>
          <w:szCs w:val="16"/>
          <w:color w:val="auto"/>
        </w:rPr>
        <w:t>Either (x) a counterpart of this Agreement signed on behalf of the Agent, the Borrower and each Initial Lender or (y) evidence satisfactory to the Agent (which may include an electronic transmission) that such party has signed a counterpart of this Agreement.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860"/>
          </w:cols>
          <w:pgMar w:left="520" w:top="274" w:right="519" w:bottom="1440" w:gutter="0" w:footer="0" w:header="0"/>
        </w:sectPr>
      </w:pPr>
    </w:p>
    <w:bookmarkStart w:id="63" w:name="page64"/>
    <w:bookmarkEnd w:id="63"/>
    <w:p>
      <w:pPr>
        <w:ind w:left="440" w:right="40" w:firstLine="851"/>
        <w:spacing w:after="0" w:line="277" w:lineRule="auto"/>
        <w:tabs>
          <w:tab w:leader="none" w:pos="1551"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Revolving Credit Notes to the Lenders to the extent requested by any Lender pursuant to Section 2.17, and a Swing Line Note to the Swing Line Lender to the extent requested by the Swing Line Lender.</w:t>
      </w:r>
    </w:p>
    <w:p>
      <w:pPr>
        <w:spacing w:after="0" w:line="62" w:lineRule="exact"/>
        <w:rPr>
          <w:rFonts w:ascii="Arial" w:cs="Arial" w:eastAsia="Arial" w:hAnsi="Arial"/>
          <w:sz w:val="18"/>
          <w:szCs w:val="18"/>
          <w:color w:val="auto"/>
        </w:rPr>
      </w:pPr>
    </w:p>
    <w:p>
      <w:pPr>
        <w:ind w:left="1600" w:hanging="309"/>
        <w:spacing w:after="0"/>
        <w:tabs>
          <w:tab w:leader="none" w:pos="16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Such documents and certificates as the Agent may reasonably request relating to the organization, existence and good standing of</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the Borrower.</w:t>
      </w:r>
    </w:p>
    <w:p>
      <w:pPr>
        <w:spacing w:after="0" w:line="102" w:lineRule="exact"/>
        <w:rPr>
          <w:rFonts w:ascii="Arial" w:cs="Arial" w:eastAsia="Arial" w:hAnsi="Arial"/>
          <w:sz w:val="16"/>
          <w:szCs w:val="16"/>
          <w:color w:val="auto"/>
        </w:rPr>
      </w:pPr>
    </w:p>
    <w:p>
      <w:pPr>
        <w:ind w:left="440" w:right="180" w:firstLine="851"/>
        <w:spacing w:after="0" w:line="342" w:lineRule="auto"/>
        <w:tabs>
          <w:tab w:leader="none" w:pos="1591" w:val="left"/>
        </w:tabs>
        <w:numPr>
          <w:ilvl w:val="1"/>
          <w:numId w:val="71"/>
        </w:numPr>
        <w:rPr>
          <w:rFonts w:ascii="Arial" w:cs="Arial" w:eastAsia="Arial" w:hAnsi="Arial"/>
          <w:sz w:val="16"/>
          <w:szCs w:val="16"/>
          <w:color w:val="auto"/>
        </w:rPr>
      </w:pPr>
      <w:r>
        <w:rPr>
          <w:rFonts w:ascii="Arial" w:cs="Arial" w:eastAsia="Arial" w:hAnsi="Arial"/>
          <w:sz w:val="16"/>
          <w:szCs w:val="16"/>
          <w:color w:val="auto"/>
        </w:rPr>
        <w:t>Certified copies of the resolutions of the Board of Directors of the Borrower approving this Agreement and the Notes, and of all documents evidencing other necessary corporate action and governmental approvals, if any, with respect to this Agreement and the Notes.</w:t>
      </w:r>
    </w:p>
    <w:p>
      <w:pPr>
        <w:spacing w:after="0" w:line="15" w:lineRule="exact"/>
        <w:rPr>
          <w:rFonts w:ascii="Arial" w:cs="Arial" w:eastAsia="Arial" w:hAnsi="Arial"/>
          <w:sz w:val="16"/>
          <w:szCs w:val="16"/>
          <w:color w:val="auto"/>
        </w:rPr>
      </w:pPr>
    </w:p>
    <w:p>
      <w:pPr>
        <w:ind w:left="440" w:right="180" w:firstLine="851"/>
        <w:spacing w:after="0" w:line="277" w:lineRule="auto"/>
        <w:tabs>
          <w:tab w:leader="none" w:pos="1541"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certificate of the Secretary or an Assistant Secretary of the Borrower certifying the names and true signatures of the officers of the Borrower authorized to sign this Agreement and the Notes and the other documents to be delivered hereunder.</w:t>
      </w:r>
    </w:p>
    <w:p>
      <w:pPr>
        <w:spacing w:after="0" w:line="62" w:lineRule="exact"/>
        <w:rPr>
          <w:rFonts w:ascii="Arial" w:cs="Arial" w:eastAsia="Arial" w:hAnsi="Arial"/>
          <w:sz w:val="18"/>
          <w:szCs w:val="18"/>
          <w:color w:val="auto"/>
        </w:rPr>
      </w:pPr>
    </w:p>
    <w:p>
      <w:pPr>
        <w:ind w:left="440" w:right="120" w:firstLine="851"/>
        <w:spacing w:after="0" w:line="312" w:lineRule="auto"/>
        <w:tabs>
          <w:tab w:leader="none" w:pos="1591" w:val="left"/>
        </w:tabs>
        <w:numPr>
          <w:ilvl w:val="1"/>
          <w:numId w:val="71"/>
        </w:numPr>
        <w:rPr>
          <w:rFonts w:ascii="Arial" w:cs="Arial" w:eastAsia="Arial" w:hAnsi="Arial"/>
          <w:sz w:val="16"/>
          <w:szCs w:val="16"/>
          <w:color w:val="auto"/>
        </w:rPr>
      </w:pPr>
      <w:r>
        <w:rPr>
          <w:rFonts w:ascii="Arial" w:cs="Arial" w:eastAsia="Arial" w:hAnsi="Arial"/>
          <w:sz w:val="16"/>
          <w:szCs w:val="16"/>
          <w:color w:val="auto"/>
        </w:rPr>
        <w:t>(x) A favorable opinion of Latham &amp; Watkins LLP, counsel for the Borrower, substantially in the form of Exhibit D-1 hereto and as to such other matters as any Lender through the Agent may reasonably request and (y) a favorable opinion of in-house counsel for the Borrower, substantially in the form of Exhibit D-2 hereto and as to such other matters as any Lender through the Agent may reasonably request.</w:t>
      </w:r>
    </w:p>
    <w:p>
      <w:pPr>
        <w:spacing w:after="0" w:line="38" w:lineRule="exact"/>
        <w:rPr>
          <w:rFonts w:ascii="Arial" w:cs="Arial" w:eastAsia="Arial" w:hAnsi="Arial"/>
          <w:sz w:val="16"/>
          <w:szCs w:val="16"/>
          <w:color w:val="auto"/>
        </w:rPr>
      </w:pPr>
    </w:p>
    <w:p>
      <w:pPr>
        <w:ind w:firstLine="885"/>
        <w:spacing w:after="0" w:line="255" w:lineRule="auto"/>
        <w:tabs>
          <w:tab w:leader="none" w:pos="11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Borrower shall have terminated the commitments of the lenders and repaid or prepaid all of the obligations under (or shall have provided for the repayment or prepayment thereof with the proceeds of the initial Revolving Credit Borrowing and Swing Line Advances to be made hereunder on the Effective Date) the Existing Credit Agreement, and each of the Lenders that is a party to the Existing Credit Agreement hereby waives, upon execution of this Agreement, any notice required by the Existing Credit Agreement relating to the termination of commitments thereunder and any claim for compensation under Section 8.04(c) of the Existing Credit Agreement in connection with the payments made on the Effective Date. In furtherance thereof, the parties hereto that are parties to the Existing Credit Agreement hereby acknowledge that the commitments under the Existing Credit Agreement are terminated.</w:t>
      </w:r>
    </w:p>
    <w:p>
      <w:pPr>
        <w:spacing w:after="0" w:line="81" w:lineRule="exact"/>
        <w:rPr>
          <w:rFonts w:ascii="Arial" w:cs="Arial" w:eastAsia="Arial" w:hAnsi="Arial"/>
          <w:sz w:val="18"/>
          <w:szCs w:val="18"/>
          <w:color w:val="auto"/>
        </w:rPr>
      </w:pPr>
    </w:p>
    <w:p>
      <w:pPr>
        <w:ind w:right="120" w:firstLine="885"/>
        <w:spacing w:after="0" w:line="264" w:lineRule="auto"/>
        <w:tabs>
          <w:tab w:leader="none" w:pos="109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the extent requested by the Agent or any Lender, an executed Beneficial Ownership Certification for the Borrower and such other documentation and other information requested in connection with applicable “know your customer”, Anti-Terrorism Laws and Anti-Corruption Laws, including the Patriot Act.</w:t>
      </w:r>
    </w:p>
    <w:p>
      <w:pPr>
        <w:spacing w:after="0" w:line="73"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Conditions Precedent to Each Revolving Credit Borrowing, Swing Line Advance, Letter of Credit and Commitment Increase</w:t>
      </w:r>
      <w:r>
        <w:rPr>
          <w:rFonts w:ascii="Arial" w:cs="Arial" w:eastAsia="Arial" w:hAnsi="Arial"/>
          <w:sz w:val="18"/>
          <w:szCs w:val="18"/>
          <w:color w:val="auto"/>
        </w:rPr>
        <w:t>. The obligation of each Lender to make an Advance and of each Issuing Lender to issue, amend, renew or extend any Letter of Credit, and the occurrence of any Commitment Increase, shall be subject to the conditions precedent that the Effective Date shall have occurred and on the date of such Notice of Revolving Credit Borrowing, Notice of Swing Line Borrowing, request for the issuance, amendment, renewal or extension of a Letter of Credit or Increase Date, as the case may be, the following statements shall be true (and each of the giving of the applicable Notice of Revolving Credit Borrowing or</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64" w:name="page65"/>
    <w:bookmarkEnd w:id="64"/>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Swing Line Advance, request for the issuance, amendment, renewal or extension of a Letter of Credit or request for a Commitment Increase, and the acceptance by the Borrower of the proceeds of such Revolving Credit Borrowing or Swing Line Advance or issuance, amendment, renewal or extension of such Letter of Credit, as the case may be, shall constitute a representation and warranty by the Borrower that on the date thereof such statements are true):</w:t>
      </w:r>
    </w:p>
    <w:p>
      <w:pPr>
        <w:spacing w:after="0" w:line="79" w:lineRule="exact"/>
        <w:rPr>
          <w:sz w:val="20"/>
          <w:szCs w:val="20"/>
          <w:color w:val="auto"/>
        </w:rPr>
      </w:pPr>
    </w:p>
    <w:p>
      <w:pPr>
        <w:ind w:firstLine="885"/>
        <w:spacing w:after="0" w:line="272" w:lineRule="auto"/>
        <w:tabs>
          <w:tab w:leader="none" w:pos="1126"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representations and warranties contained in Section 4.01 are true and correct in all material respects (except that any representation or warranty which is already qualified as to materiality or by reference to a Material Adverse Effect shall be true and correct in all respects) on and as of such date, before and after giving effect to such Revolving Credit Borrowing, Swing Line Advance, Letter of Credit issuance, amendment, renewal or extension or Commitment Increase, as the case may be, and to the application of the proceeds therefrom, as though made on and as of such date, except to the extent such representations and warranties expressly relate to any earlier date, in which case such representations and warranties were true and correct in all material respects (except that any representation or warranty which is qualified as to materiality or by reference to a Material Adverse Effect shall be true and correct in all respects) as of such earlier date, and</w:t>
      </w:r>
    </w:p>
    <w:p>
      <w:pPr>
        <w:spacing w:after="0" w:line="69" w:lineRule="exact"/>
        <w:rPr>
          <w:rFonts w:ascii="Arial" w:cs="Arial" w:eastAsia="Arial" w:hAnsi="Arial"/>
          <w:sz w:val="17"/>
          <w:szCs w:val="17"/>
          <w:color w:val="auto"/>
        </w:rPr>
      </w:pPr>
    </w:p>
    <w:p>
      <w:pPr>
        <w:ind w:right="140" w:firstLine="885"/>
        <w:spacing w:after="0" w:line="342" w:lineRule="auto"/>
        <w:tabs>
          <w:tab w:leader="none" w:pos="1136" w:val="left"/>
        </w:tabs>
        <w:numPr>
          <w:ilvl w:val="0"/>
          <w:numId w:val="73"/>
        </w:numPr>
        <w:rPr>
          <w:rFonts w:ascii="Arial" w:cs="Arial" w:eastAsia="Arial" w:hAnsi="Arial"/>
          <w:sz w:val="16"/>
          <w:szCs w:val="16"/>
          <w:color w:val="auto"/>
        </w:rPr>
      </w:pPr>
      <w:r>
        <w:rPr>
          <w:rFonts w:ascii="Arial" w:cs="Arial" w:eastAsia="Arial" w:hAnsi="Arial"/>
          <w:sz w:val="16"/>
          <w:szCs w:val="16"/>
          <w:color w:val="auto"/>
        </w:rPr>
        <w:t>no event has occurred and is continuing, or would result from such Revolving Credit Borrowing, Swing Line Advance, Letter of Credit issuance, amendment, renewal or extension or Commitment Increase or from the application of the proceeds therefrom, that constitutes a Default.</w:t>
      </w:r>
    </w:p>
    <w:p>
      <w:pPr>
        <w:spacing w:after="0" w:line="16"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Determinations Under Section 3.01</w:t>
      </w:r>
      <w:r>
        <w:rPr>
          <w:rFonts w:ascii="Arial" w:cs="Arial" w:eastAsia="Arial" w:hAnsi="Arial"/>
          <w:sz w:val="18"/>
          <w:szCs w:val="18"/>
          <w:color w:val="auto"/>
        </w:rPr>
        <w:t>. For purposes of determining compliance with the conditions specified in Section 3.01, each Lender shall be deemed to have consented to, approved or accepted or to be satisfied with each document or other matter required thereunder to be consented to or approved by or acceptable or satisfactory to the Lenders unless an officer of the Agent responsible for the transactions contemplated by this Agreement shall have received notice from such Lender prior to the date that the Borrower, by notice to the Agent on behalf of all Lenders, designates as the proposed Effective Date, specifying its objection thereto. The Agent shall promptly notify the Lenders of the occurrence of the Effective Date.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 The Borrower represents and warrants as follows:</w:t>
      </w:r>
    </w:p>
    <w:p>
      <w:pPr>
        <w:spacing w:after="0" w:line="117" w:lineRule="exact"/>
        <w:rPr>
          <w:sz w:val="20"/>
          <w:szCs w:val="20"/>
          <w:color w:val="auto"/>
        </w:rPr>
      </w:pPr>
    </w:p>
    <w:p>
      <w:pPr>
        <w:ind w:right="20" w:firstLine="885"/>
        <w:spacing w:after="0" w:line="259" w:lineRule="auto"/>
        <w:tabs>
          <w:tab w:leader="none" w:pos="112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Borrower is a corporation duly organized, validly existing and currently subsisting under the laws of the Commonwealth of Pennsylvania. The Borrower has all requisite power and authority to carry on its business in all material respects as now conducted and is qualified to do business in every jurisdiction where such qualification is required, except where the failure to have such power, authority or qualification, individually or in the aggregate, would not reasonably be expected to result in a Material Adverse Effect.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4" w:right="439" w:bottom="1440" w:gutter="0" w:footer="0" w:header="0"/>
        </w:sectPr>
      </w:pPr>
    </w:p>
    <w:bookmarkStart w:id="65" w:name="page66"/>
    <w:bookmarkEnd w:id="65"/>
    <w:p>
      <w:pPr>
        <w:ind w:firstLine="885"/>
        <w:spacing w:after="0" w:line="293" w:lineRule="auto"/>
        <w:tabs>
          <w:tab w:leader="none" w:pos="1136" w:val="left"/>
        </w:tabs>
        <w:numPr>
          <w:ilvl w:val="0"/>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execution, delivery and performance by the Borrower of this Agreement, the Notes and the other Loan Documents to be delivered by it, and the consummation of the transactions contemplated hereby, are within the Borrower’s corporate powers, have been duly authorized by all necessary corporate action, and do not contravene (i) the Borrower’s charter or by-laws or (ii) any applicable law or any contractual restriction binding on or affecting the Borrower (except where such contravention, individually or in the aggregate, would not reasonably be expected to result in a Material Adverse Effect), and will not result in or require the creation or imposition of any Lien prohibited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increase of the Commitments in accordance with Section 2.19 shall require corporate action for the due authorization thereof prior to the effectiveness of such increase.</w:t>
      </w:r>
    </w:p>
    <w:p>
      <w:pPr>
        <w:spacing w:after="0" w:line="56" w:lineRule="exact"/>
        <w:rPr>
          <w:rFonts w:ascii="Arial" w:cs="Arial" w:eastAsia="Arial" w:hAnsi="Arial"/>
          <w:sz w:val="16"/>
          <w:szCs w:val="16"/>
          <w:color w:val="auto"/>
        </w:rPr>
      </w:pPr>
    </w:p>
    <w:p>
      <w:pPr>
        <w:ind w:right="100" w:firstLine="885"/>
        <w:spacing w:after="0" w:line="279" w:lineRule="auto"/>
        <w:tabs>
          <w:tab w:leader="none" w:pos="1126"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No authorization or approval or other action by, and no notice to or filing with, any Official Body or any other third party is required for the due execution, delivery and performance by the Borrower of this Agreement or the Notes to be delivered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increase of the Commitments in accordance with Section 2.19 and the extension of the Termination Date in accordance with Section 2.20 shall require appropriate Official Body or third party authorization thereof prior to the effectiveness of such increase or such extension, as the case may be.</w:t>
      </w:r>
    </w:p>
    <w:p>
      <w:pPr>
        <w:spacing w:after="0" w:line="63" w:lineRule="exact"/>
        <w:rPr>
          <w:rFonts w:ascii="Arial" w:cs="Arial" w:eastAsia="Arial" w:hAnsi="Arial"/>
          <w:sz w:val="17"/>
          <w:szCs w:val="17"/>
          <w:color w:val="auto"/>
        </w:rPr>
      </w:pPr>
    </w:p>
    <w:p>
      <w:pPr>
        <w:ind w:right="320" w:firstLine="885"/>
        <w:spacing w:after="0" w:line="264" w:lineRule="auto"/>
        <w:tabs>
          <w:tab w:leader="none" w:pos="11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Agreement has been, and each of the Notes to be delivered by it when delivered hereunder will have been, duly executed and delivered by the Borrower. This Agreement is, and each of the Notes when delivered hereunder will be, the legal, valid and binding obligation of the Borrower enforceable against the Borrower in accordance with their respective terms.</w:t>
      </w:r>
    </w:p>
    <w:p>
      <w:pPr>
        <w:spacing w:after="0" w:line="73" w:lineRule="exact"/>
        <w:rPr>
          <w:rFonts w:ascii="Arial" w:cs="Arial" w:eastAsia="Arial" w:hAnsi="Arial"/>
          <w:sz w:val="18"/>
          <w:szCs w:val="18"/>
          <w:color w:val="auto"/>
        </w:rPr>
      </w:pPr>
    </w:p>
    <w:p>
      <w:pPr>
        <w:ind w:right="20" w:firstLine="885"/>
        <w:spacing w:after="0" w:line="253" w:lineRule="auto"/>
        <w:tabs>
          <w:tab w:leader="none" w:pos="112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Consolidated balance sheet of the Borrower and its Subsidiaries as at September 30, 2018, and the related Consolidated statements of income and cash flows of the Borrower and its Subsidiaries for the fiscal year then ended, accompanied by an opinion of Ernst &amp; Young LLP, and the Consolidated balance sheet of the Borrower and its Subsidiaries as at March 31, 2019, and the related Consolidated statements of income and cash flows of the Borrower and its Subsidiaries for six months then ended, copies of which have been included in the SEC Filings prior to the date hereof, fairly present in all material respects, subject, in the case of said balance sheet as at March 31, 2019, and said statements of income and cash flows for the six months then ended, to year-end audit adjustments and the presentation of footnotes not required by Regulation S-X to be included in interim financial statements, the Consolidated financial condition of the Borrower and its Subsidiaries as at such dates and the Consolidated results of the operations of the Borrower and its Subsidiaries for the periods ended on such dates, all in accordance with generally accepted accounting principles consistently applied.</w:t>
      </w:r>
    </w:p>
    <w:p>
      <w:pPr>
        <w:spacing w:after="0" w:line="89" w:lineRule="exact"/>
        <w:rPr>
          <w:rFonts w:ascii="Arial" w:cs="Arial" w:eastAsia="Arial" w:hAnsi="Arial"/>
          <w:sz w:val="18"/>
          <w:szCs w:val="18"/>
          <w:color w:val="auto"/>
        </w:rPr>
      </w:pPr>
    </w:p>
    <w:p>
      <w:pPr>
        <w:ind w:firstLine="885"/>
        <w:spacing w:after="0" w:line="276" w:lineRule="auto"/>
        <w:tabs>
          <w:tab w:leader="none" w:pos="1106"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There is no pending or threatened action, suit, investigation, litigation or proceeding, including, without limitation, any Environmental Action, affecting the Borrower or any of its Subsidiaries before any court, governmental agency or arbitrator that (i) would be reasonably likely to have a Material Adverse Effect (other than the Disclosed Litigation) or (ii) purports to affect the legality, validity or enforceability of this Agreement or any Note or the consummation of the transactions contemplated hereby, and there has been no change in the status, or financial effect on the Borrower or any of its Subsidiaries, of the Disclosed Litigation that would have a Material Adverse Effect.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440" w:top="274" w:right="439" w:bottom="1440" w:gutter="0" w:footer="0" w:header="0"/>
        </w:sectPr>
      </w:pPr>
    </w:p>
    <w:bookmarkStart w:id="66" w:name="page67"/>
    <w:bookmarkEnd w:id="66"/>
    <w:p>
      <w:pPr>
        <w:ind w:left="-20" w:right="160" w:firstLine="885"/>
        <w:spacing w:after="0" w:line="286" w:lineRule="auto"/>
        <w:tabs>
          <w:tab w:leader="none" w:pos="1116" w:val="left"/>
        </w:tabs>
        <w:numPr>
          <w:ilvl w:val="0"/>
          <w:numId w:val="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is not engaged in the business of extending credit for the purpose of purchasing or carrying margin stock (within the meaning of Regulation U issued by the Board of Governors of the Federal Reserve System), and no proceeds of any Advance will be used to purchase or carry any margin stock or to extend credit to others for the purpose of purchasing or carrying any margin stock.</w:t>
      </w:r>
    </w:p>
    <w:p>
      <w:pPr>
        <w:spacing w:after="0" w:line="57" w:lineRule="exact"/>
        <w:rPr>
          <w:rFonts w:ascii="Arial" w:cs="Arial" w:eastAsia="Arial" w:hAnsi="Arial"/>
          <w:sz w:val="17"/>
          <w:szCs w:val="17"/>
          <w:color w:val="auto"/>
        </w:rPr>
      </w:pPr>
    </w:p>
    <w:p>
      <w:pPr>
        <w:ind w:left="-20" w:right="400" w:firstLine="885"/>
        <w:spacing w:after="0" w:line="277" w:lineRule="auto"/>
        <w:tabs>
          <w:tab w:leader="none" w:pos="111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Borrower is not an “investment company”, or a company “controlled” by an “investment company”, within the meaning of the Investment Company Act of 1940, as amended.</w:t>
      </w:r>
    </w:p>
    <w:p>
      <w:pPr>
        <w:spacing w:after="0" w:line="62" w:lineRule="exact"/>
        <w:rPr>
          <w:rFonts w:ascii="Arial" w:cs="Arial" w:eastAsia="Arial" w:hAnsi="Arial"/>
          <w:sz w:val="18"/>
          <w:szCs w:val="18"/>
          <w:color w:val="auto"/>
        </w:rPr>
      </w:pPr>
    </w:p>
    <w:p>
      <w:pPr>
        <w:ind w:left="-20" w:firstLine="885"/>
        <w:spacing w:after="0" w:line="255" w:lineRule="auto"/>
        <w:tabs>
          <w:tab w:leader="none" w:pos="1076"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written information (other than financial projections and other forward-looking information and information of a general economic or industry specific nature), exhibit or report furnished by the Borrower to the Agent or any Lender pursuant to the terms of this Agreement, nor any of the information contained herein, when taken as a whole, on the date so provided, contained any untrue statement of a material fact or omitted to state a material fact necessary to make the statements made therein and herein not misleading in light of the circumstances under which they were made. With respect to projections, the Borrower represents only that such information was prepared in good faith based on assumptions believed to be reasonable at the time of preparation thereof and when delivered to the Agent or the Lenders; it being understood that such projections may vary from actual results and that such variances may be material.</w:t>
      </w:r>
    </w:p>
    <w:p>
      <w:pPr>
        <w:spacing w:after="0" w:line="81" w:lineRule="exact"/>
        <w:rPr>
          <w:rFonts w:ascii="Arial" w:cs="Arial" w:eastAsia="Arial" w:hAnsi="Arial"/>
          <w:sz w:val="18"/>
          <w:szCs w:val="18"/>
          <w:color w:val="auto"/>
        </w:rPr>
      </w:pPr>
    </w:p>
    <w:p>
      <w:pPr>
        <w:ind w:left="1080" w:hanging="215"/>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20" w:right="80" w:firstLine="885"/>
        <w:spacing w:after="0" w:line="277" w:lineRule="auto"/>
        <w:tabs>
          <w:tab w:leader="none" w:pos="1116"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ERISA Event has occurred or is reasonably expected to occur that, when taken together with all other such ERISA Events for which liability is reasonably expected to occur, would reasonably be expected to result in a Material Adverse Effect.</w:t>
      </w:r>
    </w:p>
    <w:p>
      <w:pPr>
        <w:spacing w:after="0" w:line="62" w:lineRule="exact"/>
        <w:rPr>
          <w:rFonts w:ascii="Arial" w:cs="Arial" w:eastAsia="Arial" w:hAnsi="Arial"/>
          <w:sz w:val="18"/>
          <w:szCs w:val="18"/>
          <w:color w:val="auto"/>
        </w:rPr>
      </w:pPr>
    </w:p>
    <w:p>
      <w:pPr>
        <w:ind w:left="-20" w:firstLine="885"/>
        <w:spacing w:after="0" w:line="269" w:lineRule="auto"/>
        <w:tabs>
          <w:tab w:leader="none" w:pos="1076"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Covered Person has implemented and maintains in effect policies and procedures designed to ensure compliance by such Covered Person and its respective directors, officers, employees and agents with Anti-Corruption Laws, Anti-Terrorism Laws and applicable Sanctions, and the Covered Persons and to the knowledge of the Borrower, its officers, employees, directors and agents, are in compliance with Anti-Corruption Laws, Anti-Terrorism Laws and applicable Sanctions in all material respects. None of the Covered Persons, nor to the knowledge of the Borrower or any other Covered Person, any of their respective directors, officers, employees, agents or representatives of any Covered Persons that will act in any capacity in connection with or benefit from the credit facility established hereby, (i) is a Sanctioned Person or currently the subject or target of any Sanctions, (ii) is controlled by or acting on behalf of a Sanctioned Person, (iii) is located, organized or resident in a Sanctioned Country, (iv) is under administrative, civil or criminal investigation for an alleged violation of, or received notice from or made a voluntary disclosure to any governmental entity regarding a possible violation of, Anti-Corruption Laws, Anti-Terrorism Laws or Sanctions by a governmental authority that enforces Sanctions or any Anti-Corruption Laws or Anti-Terrorism Laws, or (v) directly or indirectly derives revenues from investments in, or transactions with, Sanctioned Persons. No borrowing, Letter of Credit or the use of the proceeds thereof or other transaction contemplated by this Agreement will violate Anti-Corruption Laws or applicable Sanctions.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60" w:top="274" w:right="459" w:bottom="1440" w:gutter="0" w:footer="0" w:header="0"/>
        </w:sectPr>
      </w:pPr>
    </w:p>
    <w:bookmarkStart w:id="67" w:name="page68"/>
    <w:bookmarkEnd w:id="67"/>
    <w:p>
      <w:pPr>
        <w:ind w:right="100" w:firstLine="885"/>
        <w:spacing w:after="0" w:line="264" w:lineRule="auto"/>
        <w:tabs>
          <w:tab w:leader="none" w:pos="1186"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Beneficial Ownership Certification (if any) executed and delivered to the Agent and Lenders for the Borrower on or prior to the Effective Date, as updated from time to time in accordance with this Agreement, is accurate, complete and correct as of the Effective Date and as of the date any such update is delivered.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OF THE BORROWER</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Affirmative Covenants</w:t>
      </w:r>
      <w:r>
        <w:rPr>
          <w:rFonts w:ascii="Arial" w:cs="Arial" w:eastAsia="Arial" w:hAnsi="Arial"/>
          <w:sz w:val="18"/>
          <w:szCs w:val="18"/>
          <w:color w:val="auto"/>
        </w:rPr>
        <w:t>. So long as any Advance shall remain unpaid, any Letter of Credit shall remain outstanding, any other amount shall remain unpaid hereunder or under any Note or any Lender shall have any Commitment hereunder, the Borrower will:</w:t>
      </w:r>
    </w:p>
    <w:p>
      <w:pPr>
        <w:spacing w:after="0" w:line="62" w:lineRule="exact"/>
        <w:rPr>
          <w:sz w:val="20"/>
          <w:szCs w:val="20"/>
          <w:color w:val="auto"/>
        </w:rPr>
      </w:pPr>
    </w:p>
    <w:p>
      <w:pPr>
        <w:ind w:right="40" w:firstLine="885"/>
        <w:spacing w:after="0" w:line="259" w:lineRule="auto"/>
        <w:tabs>
          <w:tab w:leader="none" w:pos="112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Compliance with Laws, Etc.</w:t>
      </w:r>
      <w:r>
        <w:rPr>
          <w:rFonts w:ascii="Arial" w:cs="Arial" w:eastAsia="Arial" w:hAnsi="Arial"/>
          <w:sz w:val="18"/>
          <w:szCs w:val="18"/>
          <w:color w:val="auto"/>
        </w:rPr>
        <w:t xml:space="preserve"> Comply, and cause each of its Subsidiaries to comply with all applicable laws, rules, regulations and orders, such compliance to include, without limitation, compliance with ERISA, Environmental Laws and the Patriot Act, except where the necessity of compliance therewith is contested in good faith by appropriate proceedings or except where the failure to comply would not reasonably be expected to have a Material Adverse Effect.</w:t>
      </w:r>
    </w:p>
    <w:p>
      <w:pPr>
        <w:spacing w:after="0" w:line="78" w:lineRule="exact"/>
        <w:rPr>
          <w:rFonts w:ascii="Arial" w:cs="Arial" w:eastAsia="Arial" w:hAnsi="Arial"/>
          <w:sz w:val="18"/>
          <w:szCs w:val="18"/>
          <w:color w:val="auto"/>
        </w:rPr>
      </w:pPr>
    </w:p>
    <w:p>
      <w:pPr>
        <w:ind w:right="220" w:firstLine="885"/>
        <w:spacing w:after="0" w:line="257" w:lineRule="auto"/>
        <w:tabs>
          <w:tab w:leader="none" w:pos="113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Payment of Taxes, Etc.</w:t>
      </w:r>
      <w:r>
        <w:rPr>
          <w:rFonts w:ascii="Arial" w:cs="Arial" w:eastAsia="Arial" w:hAnsi="Arial"/>
          <w:sz w:val="18"/>
          <w:szCs w:val="18"/>
          <w:color w:val="auto"/>
        </w:rPr>
        <w:t xml:space="preserve"> Pay and discharge, and cause each of its Subsidiaries to pay and discharge, before the same shall become delinquent, (i) all taxes, assessments and governmental charges or levies imposed upon it or upon its property and (ii) all lawful claims that, if unpaid, might by law become a Lien upon its property, except where the necessity of compliance therewith is contested in good faith by appropriate proceedings, against which appropriate reserves are being maintained in accordance with GAAP or except where the failure to comply would not reasonably be expected to have a Material Adverse Effect.</w:t>
      </w:r>
    </w:p>
    <w:p>
      <w:pPr>
        <w:spacing w:after="0" w:line="80" w:lineRule="exact"/>
        <w:rPr>
          <w:rFonts w:ascii="Arial" w:cs="Arial" w:eastAsia="Arial" w:hAnsi="Arial"/>
          <w:sz w:val="18"/>
          <w:szCs w:val="18"/>
          <w:color w:val="auto"/>
        </w:rPr>
      </w:pPr>
    </w:p>
    <w:p>
      <w:pPr>
        <w:ind w:right="60" w:firstLine="885"/>
        <w:spacing w:after="0" w:line="259" w:lineRule="auto"/>
        <w:tabs>
          <w:tab w:leader="none" w:pos="112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xml:space="preserve">. Maintain, and cause each of its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Subsidiary operates;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Borrower and its Subsidiaries may self-insure to the extent consistent with prudent business practice.</w:t>
      </w:r>
    </w:p>
    <w:p>
      <w:pPr>
        <w:spacing w:after="0" w:line="78" w:lineRule="exact"/>
        <w:rPr>
          <w:rFonts w:ascii="Arial" w:cs="Arial" w:eastAsia="Arial" w:hAnsi="Arial"/>
          <w:sz w:val="18"/>
          <w:szCs w:val="18"/>
          <w:color w:val="auto"/>
        </w:rPr>
      </w:pPr>
    </w:p>
    <w:p>
      <w:pPr>
        <w:ind w:right="220" w:firstLine="885"/>
        <w:spacing w:after="0" w:line="273" w:lineRule="auto"/>
        <w:tabs>
          <w:tab w:leader="none" w:pos="1136"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Preservation of Corporate Existence, Etc.</w:t>
      </w:r>
      <w:r>
        <w:rPr>
          <w:rFonts w:ascii="Arial" w:cs="Arial" w:eastAsia="Arial" w:hAnsi="Arial"/>
          <w:sz w:val="17"/>
          <w:szCs w:val="17"/>
          <w:color w:val="auto"/>
        </w:rPr>
        <w:t xml:space="preserve"> Preserve and maintain, and cause each of its Subsidiaries to preserve and maintain, its corporate existence, rights (charter and statutory) and franchises;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Borrower and its Subsidiaries may consummate any merger or consolidation permitted under Section 5.02(b)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neither the Borrower nor any of its Subsidiaries shall be required to preserve any right or franchise if the Board of Directors of the Borrower or such Subsidiary shall determine that the preservation thereof is no longer desirable in the conduct of the business of the Borrower or such Subsidiary, as the case may be, and that the loss thereof is not disadvantageous in any material respect to the Borrower and its Subsidiaries taken as a whole or the Lenders.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440" w:top="274" w:right="439" w:bottom="1440" w:gutter="0" w:footer="0" w:header="0"/>
        </w:sectPr>
      </w:pPr>
    </w:p>
    <w:bookmarkStart w:id="68" w:name="page69"/>
    <w:bookmarkEnd w:id="68"/>
    <w:p>
      <w:pPr>
        <w:ind w:left="-40" w:right="20" w:firstLine="885"/>
        <w:spacing w:after="0" w:line="259" w:lineRule="auto"/>
        <w:tabs>
          <w:tab w:leader="none" w:pos="1086"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Visitation Rights</w:t>
      </w:r>
      <w:r>
        <w:rPr>
          <w:rFonts w:ascii="Arial" w:cs="Arial" w:eastAsia="Arial" w:hAnsi="Arial"/>
          <w:sz w:val="18"/>
          <w:szCs w:val="18"/>
          <w:color w:val="auto"/>
        </w:rPr>
        <w:t>. At reasonable times and upon five Business Days prior notice, permit the Agent or any of the Lenders or any agents or representatives thereof at their respective expense, to examine the records and books of account of, and visit the properties of, the Borrower and any of its Subsidiaries, and to discuss the affairs, finances and accounts of the Borrower and any of its Subsidiaries with any of their officers or directors and with their independent certified public accountants.</w:t>
      </w:r>
    </w:p>
    <w:p>
      <w:pPr>
        <w:spacing w:after="0" w:line="78" w:lineRule="exact"/>
        <w:rPr>
          <w:rFonts w:ascii="Arial" w:cs="Arial" w:eastAsia="Arial" w:hAnsi="Arial"/>
          <w:sz w:val="18"/>
          <w:szCs w:val="18"/>
          <w:color w:val="auto"/>
        </w:rPr>
      </w:pPr>
    </w:p>
    <w:p>
      <w:pPr>
        <w:ind w:left="-40" w:firstLine="885"/>
        <w:spacing w:after="0" w:line="264" w:lineRule="auto"/>
        <w:tabs>
          <w:tab w:leader="none" w:pos="1066"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Keeping of Books</w:t>
      </w:r>
      <w:r>
        <w:rPr>
          <w:rFonts w:ascii="Arial" w:cs="Arial" w:eastAsia="Arial" w:hAnsi="Arial"/>
          <w:sz w:val="18"/>
          <w:szCs w:val="18"/>
          <w:color w:val="auto"/>
        </w:rPr>
        <w:t>. Keep, and cause each of its Subsidiaries to keep, proper books of record and account, in which full and correct entries shall be made of all financial transactions and the assets and business of the Borrower and each such Subsidiary in accordance with generally accepted accounting principles in effect from time to time.</w:t>
      </w:r>
    </w:p>
    <w:p>
      <w:pPr>
        <w:spacing w:after="0" w:line="73" w:lineRule="exact"/>
        <w:rPr>
          <w:rFonts w:ascii="Arial" w:cs="Arial" w:eastAsia="Arial" w:hAnsi="Arial"/>
          <w:sz w:val="18"/>
          <w:szCs w:val="18"/>
          <w:color w:val="auto"/>
        </w:rPr>
      </w:pPr>
    </w:p>
    <w:p>
      <w:pPr>
        <w:ind w:left="-40" w:right="280" w:firstLine="885"/>
        <w:spacing w:after="0" w:line="342" w:lineRule="auto"/>
        <w:tabs>
          <w:tab w:leader="none" w:pos="1096"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Maintenance of Properties, Etc.</w:t>
      </w:r>
      <w:r>
        <w:rPr>
          <w:rFonts w:ascii="Arial" w:cs="Arial" w:eastAsia="Arial" w:hAnsi="Arial"/>
          <w:sz w:val="16"/>
          <w:szCs w:val="16"/>
          <w:color w:val="auto"/>
        </w:rPr>
        <w:t xml:space="preserve"> Maintain and preserve, and cause each of its Material Subsidiaries to maintain and preserve, all of its material properties that are necessary in the conduct of its business in good working order and condition, ordinary wear and tear excepted.</w:t>
      </w:r>
    </w:p>
    <w:p>
      <w:pPr>
        <w:spacing w:after="0" w:line="15" w:lineRule="exact"/>
        <w:rPr>
          <w:rFonts w:ascii="Arial" w:cs="Arial" w:eastAsia="Arial" w:hAnsi="Arial"/>
          <w:sz w:val="16"/>
          <w:szCs w:val="16"/>
          <w:color w:val="auto"/>
        </w:rPr>
      </w:pPr>
    </w:p>
    <w:p>
      <w:pPr>
        <w:ind w:left="1100" w:hanging="255"/>
        <w:spacing w:after="0"/>
        <w:tabs>
          <w:tab w:leader="none" w:pos="11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Reporting Requirements</w:t>
      </w:r>
      <w:r>
        <w:rPr>
          <w:rFonts w:ascii="Arial" w:cs="Arial" w:eastAsia="Arial" w:hAnsi="Arial"/>
          <w:sz w:val="18"/>
          <w:szCs w:val="18"/>
          <w:color w:val="auto"/>
        </w:rPr>
        <w:t>. Furnish to the Lenders:</w:t>
      </w:r>
    </w:p>
    <w:p>
      <w:pPr>
        <w:spacing w:after="0" w:line="117" w:lineRule="exact"/>
        <w:rPr>
          <w:rFonts w:ascii="Arial" w:cs="Arial" w:eastAsia="Arial" w:hAnsi="Arial"/>
          <w:sz w:val="18"/>
          <w:szCs w:val="18"/>
          <w:color w:val="auto"/>
        </w:rPr>
      </w:pPr>
    </w:p>
    <w:p>
      <w:pPr>
        <w:ind w:left="400" w:right="140" w:firstLine="851"/>
        <w:spacing w:after="0" w:line="272" w:lineRule="auto"/>
        <w:tabs>
          <w:tab w:leader="none" w:pos="1461" w:val="left"/>
        </w:tabs>
        <w:numPr>
          <w:ilvl w:val="1"/>
          <w:numId w:val="79"/>
        </w:numPr>
        <w:rPr>
          <w:rFonts w:ascii="Arial" w:cs="Arial" w:eastAsia="Arial" w:hAnsi="Arial"/>
          <w:sz w:val="17"/>
          <w:szCs w:val="17"/>
          <w:color w:val="auto"/>
        </w:rPr>
      </w:pPr>
      <w:r>
        <w:rPr>
          <w:rFonts w:ascii="Arial" w:cs="Arial" w:eastAsia="Arial" w:hAnsi="Arial"/>
          <w:sz w:val="17"/>
          <w:szCs w:val="17"/>
          <w:color w:val="auto"/>
        </w:rPr>
        <w:t>as soon as available and in any event within 50 days after the end of each of the first three quarters of each fiscal year of the Borrower, the Consolidated balance sheet of the Borrower and its Subsidiaries as of the end of such quarter and Consolidated statements of income and cash flows of the Borrower and its Subsidiaries for the period commencing at the end of the previous fiscal year and ending with the end of such quarter, duly certified (subject to year-end audit adjustments and the presentation of footnotes not required by Regulation S-X to be included in interim financial statements) by a Responsible Officer of the Borrower as having been prepared in accordance with GAAP and certificates of a Responsible Officer of the Borrower as to compliance with the terms of this Agreement and setting forth in reasonable detail the calculations necessary to demonstrate compliance with Section 5.03;</w:t>
      </w:r>
    </w:p>
    <w:p>
      <w:pPr>
        <w:spacing w:after="0" w:line="69" w:lineRule="exact"/>
        <w:rPr>
          <w:rFonts w:ascii="Arial" w:cs="Arial" w:eastAsia="Arial" w:hAnsi="Arial"/>
          <w:sz w:val="17"/>
          <w:szCs w:val="17"/>
          <w:color w:val="auto"/>
        </w:rPr>
      </w:pPr>
    </w:p>
    <w:p>
      <w:pPr>
        <w:ind w:left="400" w:right="20" w:firstLine="851"/>
        <w:spacing w:after="0" w:line="293" w:lineRule="auto"/>
        <w:tabs>
          <w:tab w:leader="none" w:pos="1511" w:val="left"/>
        </w:tabs>
        <w:numPr>
          <w:ilvl w:val="1"/>
          <w:numId w:val="79"/>
        </w:numPr>
        <w:rPr>
          <w:rFonts w:ascii="Arial" w:cs="Arial" w:eastAsia="Arial" w:hAnsi="Arial"/>
          <w:sz w:val="16"/>
          <w:szCs w:val="16"/>
          <w:color w:val="auto"/>
        </w:rPr>
      </w:pPr>
      <w:r>
        <w:rPr>
          <w:rFonts w:ascii="Arial" w:cs="Arial" w:eastAsia="Arial" w:hAnsi="Arial"/>
          <w:sz w:val="16"/>
          <w:szCs w:val="16"/>
          <w:color w:val="auto"/>
        </w:rPr>
        <w:t>as soon as available and in any event within 95 days after the end of each fiscal year of the Borrower, a copy of the annual audit report for such year for the Borrower and its Subsidiaries, containing the Consolidated balance sheet of the Borrower and its Subsidiaries as of the end of such fiscal year and Consolidated statements of income and cash flows of the Borrower and its Subsidiaries for such fiscal year, in each case accompanied by an opinion acceptable to the Required Lenders by Ernst &amp; Young LLP or other independent registered certified public accountants of nationally recognized standing and certificates of a Responsible Officer of the Borrower as to compliance with the terms of this Agreement and setting forth in reasonable detail the calculations necessary to demonstrate compliance with Section 5.03;</w:t>
      </w:r>
    </w:p>
    <w:p>
      <w:pPr>
        <w:spacing w:after="0" w:line="56" w:lineRule="exact"/>
        <w:rPr>
          <w:rFonts w:ascii="Arial" w:cs="Arial" w:eastAsia="Arial" w:hAnsi="Arial"/>
          <w:sz w:val="16"/>
          <w:szCs w:val="16"/>
          <w:color w:val="auto"/>
        </w:rPr>
      </w:pPr>
    </w:p>
    <w:p>
      <w:pPr>
        <w:ind w:left="400" w:right="200" w:firstLine="851"/>
        <w:spacing w:after="0" w:line="264" w:lineRule="auto"/>
        <w:tabs>
          <w:tab w:leader="none" w:pos="1561" w:val="left"/>
        </w:tabs>
        <w:numPr>
          <w:ilvl w:val="1"/>
          <w:numId w:val="79"/>
        </w:numPr>
        <w:rPr>
          <w:rFonts w:ascii="Arial" w:cs="Arial" w:eastAsia="Arial" w:hAnsi="Arial"/>
          <w:sz w:val="18"/>
          <w:szCs w:val="18"/>
          <w:color w:val="auto"/>
        </w:rPr>
      </w:pPr>
      <w:r>
        <w:rPr>
          <w:rFonts w:ascii="Arial" w:cs="Arial" w:eastAsia="Arial" w:hAnsi="Arial"/>
          <w:sz w:val="18"/>
          <w:szCs w:val="18"/>
          <w:color w:val="auto"/>
        </w:rPr>
        <w:t>as soon as possible and in any event within five Business Days after the Borrower obtains knowledge of any Default continuing on the date of such statement, a statement of a Responsible Officer of the Borrower setting forth details of such Default and the action that the Borrower has taken and proposes to take with respect thereto;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60"/>
          </w:cols>
          <w:pgMar w:left="480" w:top="274" w:right="459" w:bottom="1440" w:gutter="0" w:footer="0" w:header="0"/>
        </w:sectPr>
      </w:pPr>
    </w:p>
    <w:bookmarkStart w:id="69" w:name="page70"/>
    <w:bookmarkEnd w:id="69"/>
    <w:p>
      <w:pPr>
        <w:ind w:left="440" w:right="60" w:firstLine="851"/>
        <w:spacing w:after="0" w:line="264" w:lineRule="auto"/>
        <w:tabs>
          <w:tab w:leader="none" w:pos="1591"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after the sending or filing thereof, copies of all reports that the Borrower sends to any of its securityholders (other than UGI Corporation), and copies of all reports and registration statements that the Borrower or any Subsidiary files with the Securities and Exchange Commission or any national securities exchange;</w:t>
      </w:r>
    </w:p>
    <w:p>
      <w:pPr>
        <w:spacing w:after="0" w:line="73" w:lineRule="exact"/>
        <w:rPr>
          <w:rFonts w:ascii="Arial" w:cs="Arial" w:eastAsia="Arial" w:hAnsi="Arial"/>
          <w:sz w:val="18"/>
          <w:szCs w:val="18"/>
          <w:color w:val="auto"/>
        </w:rPr>
      </w:pPr>
    </w:p>
    <w:p>
      <w:pPr>
        <w:ind w:left="440" w:right="140" w:firstLine="851"/>
        <w:spacing w:after="0" w:line="277" w:lineRule="auto"/>
        <w:tabs>
          <w:tab w:leader="none" w:pos="1541"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prompt notice of all actions and proceedings before any court, governmental agency or arbitrator affecting the Borrower or any of its Subsidiaries of the type described in Section 4.01(f);</w:t>
      </w:r>
    </w:p>
    <w:p>
      <w:pPr>
        <w:spacing w:after="0" w:line="62" w:lineRule="exact"/>
        <w:rPr>
          <w:rFonts w:ascii="Arial" w:cs="Arial" w:eastAsia="Arial" w:hAnsi="Arial"/>
          <w:sz w:val="18"/>
          <w:szCs w:val="18"/>
          <w:color w:val="auto"/>
        </w:rPr>
      </w:pPr>
    </w:p>
    <w:p>
      <w:pPr>
        <w:ind w:left="440" w:firstLine="851"/>
        <w:spacing w:after="0" w:line="264" w:lineRule="auto"/>
        <w:tabs>
          <w:tab w:leader="none" w:pos="1591"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promptly upon request thereof, such other information and documentation required by bank regulatory authorities under applicable “know your customer”, Anti-Terrorism Laws and Anti-Corruption Laws (including the Patriot Act), as from time to time reasonably requested by the Agent or any Lender; and</w:t>
      </w:r>
    </w:p>
    <w:p>
      <w:pPr>
        <w:spacing w:after="0" w:line="73" w:lineRule="exact"/>
        <w:rPr>
          <w:rFonts w:ascii="Arial" w:cs="Arial" w:eastAsia="Arial" w:hAnsi="Arial"/>
          <w:sz w:val="18"/>
          <w:szCs w:val="18"/>
          <w:color w:val="auto"/>
        </w:rPr>
      </w:pPr>
    </w:p>
    <w:p>
      <w:pPr>
        <w:ind w:left="440" w:right="40" w:firstLine="851"/>
        <w:spacing w:after="0" w:line="277" w:lineRule="auto"/>
        <w:tabs>
          <w:tab w:leader="none" w:pos="1641"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such other information respecting the Borrower or any of its Subsidiaries as any Lender through the Agent may from time to time reasonably request.</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financial statements and other information required to be delivered pursuant to clauses (i), (ii) and (iv) of this Section 5.01(h) shall be deemed to have been delivered on the date on which such financial statements and other information are posted on the website of the Securities and Exchange Commission at www.sec.gov and the Borrower notifies the Agent in writing thereof. In addition, the financial statements and other information referred to in the immediately preceding sentence may be delivered electronically and if so delivered shall be deemed to be delivered on the date on which</w:t>
      </w:r>
    </w:p>
    <w:p>
      <w:pPr>
        <w:spacing w:after="0" w:line="2" w:lineRule="exact"/>
        <w:rPr>
          <w:sz w:val="20"/>
          <w:szCs w:val="20"/>
          <w:color w:val="auto"/>
        </w:rPr>
      </w:pPr>
    </w:p>
    <w:p>
      <w:pPr>
        <w:ind w:right="20" w:firstLine="4"/>
        <w:spacing w:after="0" w:line="269" w:lineRule="auto"/>
        <w:tabs>
          <w:tab w:leader="none" w:pos="295"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the Borrower posts such documents, or provides a link thereto on the Borrower’s website on the Internet at the following website: Webpage: www.ugicorp.com or (B) such documents are posted on the Borrower’s behalf on an Internet or intranet website, if any, to which each Lender and the Agent have access (whether a commercial, third-party website or whether sponsored by the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notify the Agent (by telecopier or electronic mail) of the posting of any such documents and provide to the Agent, if requested, by electronic mail electronic versions (</w:t>
      </w:r>
      <w:r>
        <w:rPr>
          <w:rFonts w:ascii="Arial" w:cs="Arial" w:eastAsia="Arial" w:hAnsi="Arial"/>
          <w:sz w:val="17"/>
          <w:szCs w:val="17"/>
          <w:u w:val="single" w:color="auto"/>
          <w:color w:val="auto"/>
        </w:rPr>
        <w:t>i.e.</w:t>
      </w:r>
      <w:r>
        <w:rPr>
          <w:rFonts w:ascii="Arial" w:cs="Arial" w:eastAsia="Arial" w:hAnsi="Arial"/>
          <w:sz w:val="17"/>
          <w:szCs w:val="17"/>
          <w:color w:val="auto"/>
        </w:rPr>
        <w:t>, soft copies) of such documents. The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72" w:lineRule="exact"/>
        <w:rPr>
          <w:rFonts w:ascii="Arial" w:cs="Arial" w:eastAsia="Arial" w:hAnsi="Arial"/>
          <w:sz w:val="17"/>
          <w:szCs w:val="17"/>
          <w:color w:val="auto"/>
        </w:rPr>
      </w:pPr>
    </w:p>
    <w:p>
      <w:pPr>
        <w:ind w:right="540" w:firstLine="885"/>
        <w:spacing w:after="0" w:line="277" w:lineRule="auto"/>
        <w:tabs>
          <w:tab w:leader="none" w:pos="1096" w:val="left"/>
        </w:tabs>
        <w:numPr>
          <w:ilvl w:val="1"/>
          <w:numId w:val="81"/>
        </w:numPr>
        <w:rPr>
          <w:rFonts w:ascii="Arial" w:cs="Arial" w:eastAsia="Arial" w:hAnsi="Arial"/>
          <w:sz w:val="18"/>
          <w:szCs w:val="18"/>
          <w:color w:val="auto"/>
        </w:rPr>
      </w:pPr>
      <w:r>
        <w:rPr>
          <w:rFonts w:ascii="Arial" w:cs="Arial" w:eastAsia="Arial" w:hAnsi="Arial"/>
          <w:sz w:val="18"/>
          <w:szCs w:val="18"/>
          <w:color w:val="auto"/>
        </w:rPr>
        <w:t>Maintain in effect and enforce policies and procedures designed to ensure compliance by the Covered Persons and their respective directors, officers, employees and agents with Anti-Corruption Laws, Anti-Terrorism Laws and applicable Sanctions.</w:t>
      </w:r>
    </w:p>
    <w:p>
      <w:pPr>
        <w:spacing w:after="0" w:line="62" w:lineRule="exact"/>
        <w:rPr>
          <w:rFonts w:ascii="Arial" w:cs="Arial" w:eastAsia="Arial" w:hAnsi="Arial"/>
          <w:sz w:val="18"/>
          <w:szCs w:val="18"/>
          <w:color w:val="auto"/>
        </w:rPr>
      </w:pPr>
    </w:p>
    <w:p>
      <w:pPr>
        <w:jc w:val="both"/>
        <w:ind w:right="120" w:firstLine="885"/>
        <w:spacing w:after="0" w:line="288" w:lineRule="auto"/>
        <w:tabs>
          <w:tab w:leader="none" w:pos="1096"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Use of Proceeds and Letters of Credit</w:t>
      </w:r>
      <w:r>
        <w:rPr>
          <w:rFonts w:ascii="Arial" w:cs="Arial" w:eastAsia="Arial" w:hAnsi="Arial"/>
          <w:sz w:val="16"/>
          <w:szCs w:val="16"/>
          <w:color w:val="auto"/>
        </w:rPr>
        <w:t xml:space="preserve">. The proceeds of the Advances will be used for working capital, acquisitions, capital expenditures and other general corporate purposes, including the refinancing of the Existing Credit Agreement. Letters of Credit will be used for the Borrower’s and its Subsidiaries’ general corporate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Agent nor any Lender shall have any responsibility as to use of such proceeds.</w:t>
      </w:r>
    </w:p>
    <w:p>
      <w:pPr>
        <w:ind w:right="160"/>
        <w:spacing w:after="0" w:line="323" w:lineRule="auto"/>
        <w:rPr>
          <w:rFonts w:ascii="Arial" w:cs="Arial" w:eastAsia="Arial" w:hAnsi="Arial"/>
          <w:sz w:val="16"/>
          <w:szCs w:val="16"/>
          <w:color w:val="auto"/>
        </w:rPr>
      </w:pPr>
      <w:r>
        <w:rPr>
          <w:rFonts w:ascii="Arial" w:cs="Arial" w:eastAsia="Arial" w:hAnsi="Arial"/>
          <w:sz w:val="16"/>
          <w:szCs w:val="16"/>
          <w:color w:val="auto"/>
        </w:rPr>
        <w:t>None of the Borrower, its Subsidiaries, or any of its or their respective directors, officers or employees shall use the proceeds of any Advance or Letter of Credit (x) in furtherance of an offer, payment, promise to pay, or authorization of the payment or giving of money, or anything else of value, to</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74" w:right="439" w:bottom="1440" w:gutter="0" w:footer="0" w:header="0"/>
        </w:sectPr>
      </w:pPr>
    </w:p>
    <w:bookmarkStart w:id="70" w:name="page71"/>
    <w:bookmarkEnd w:id="70"/>
    <w:p>
      <w:pPr>
        <w:jc w:val="both"/>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Person in violation of any Anti-Corruption Laws or Anti-Terrorism Laws, (y) for the purpose of funding, financing or facilitating any activities, business or transaction of or with any Sanctioned Person, or in any Sanctioned Country or (z) in any manner that would result in the violation of any Sanctions applicable to any party hereto.</w:t>
      </w:r>
    </w:p>
    <w:p>
      <w:pPr>
        <w:spacing w:after="0" w:line="73" w:lineRule="exact"/>
        <w:rPr>
          <w:sz w:val="20"/>
          <w:szCs w:val="20"/>
          <w:color w:val="auto"/>
        </w:rPr>
      </w:pPr>
    </w:p>
    <w:p>
      <w:pPr>
        <w:ind w:right="140" w:firstLine="885"/>
        <w:spacing w:after="0" w:line="264" w:lineRule="auto"/>
        <w:tabs>
          <w:tab w:leader="none" w:pos="1136"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Beneficial Ownership Certification and Other Additional Information</w:t>
      </w:r>
      <w:r>
        <w:rPr>
          <w:rFonts w:ascii="Arial" w:cs="Arial" w:eastAsia="Arial" w:hAnsi="Arial"/>
          <w:sz w:val="18"/>
          <w:szCs w:val="18"/>
          <w:color w:val="auto"/>
        </w:rPr>
        <w:t>. The Borrower shall provide to the Administrative Agent and the Lenders a new Beneficial Ownership Certification, in form and substance acceptable to the Administrative Agent and each Lender, when the information in the previously executed Beneficial Ownership Certification has changed.</w:t>
      </w:r>
    </w:p>
    <w:p>
      <w:pPr>
        <w:spacing w:after="0" w:line="73" w:lineRule="exact"/>
        <w:rPr>
          <w:sz w:val="20"/>
          <w:szCs w:val="20"/>
          <w:color w:val="auto"/>
        </w:rPr>
      </w:pPr>
    </w:p>
    <w:p>
      <w:pPr>
        <w:ind w:right="180" w:firstLine="441"/>
        <w:spacing w:after="0" w:line="308"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Negative Covenants</w:t>
      </w:r>
      <w:r>
        <w:rPr>
          <w:rFonts w:ascii="Arial" w:cs="Arial" w:eastAsia="Arial" w:hAnsi="Arial"/>
          <w:sz w:val="17"/>
          <w:szCs w:val="17"/>
          <w:color w:val="auto"/>
        </w:rPr>
        <w:t>. So long as any Advance shall remain unpaid, any Letter of Credit shall remain outstanding, any other amount shall remain unpaid hereunder or under any Note or any Lender shall have any Commitment hereunder, the Borrower will not:</w:t>
      </w:r>
    </w:p>
    <w:p>
      <w:pPr>
        <w:spacing w:after="0" w:line="38" w:lineRule="exact"/>
        <w:rPr>
          <w:sz w:val="20"/>
          <w:szCs w:val="20"/>
          <w:color w:val="auto"/>
        </w:rPr>
      </w:pPr>
    </w:p>
    <w:p>
      <w:pPr>
        <w:ind w:right="100" w:firstLine="885"/>
        <w:spacing w:after="0" w:line="342" w:lineRule="auto"/>
        <w:tabs>
          <w:tab w:leader="none" w:pos="1126"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Liens, Etc.</w:t>
      </w:r>
      <w:r>
        <w:rPr>
          <w:rFonts w:ascii="Arial" w:cs="Arial" w:eastAsia="Arial" w:hAnsi="Arial"/>
          <w:sz w:val="16"/>
          <w:szCs w:val="16"/>
          <w:color w:val="auto"/>
        </w:rPr>
        <w:t xml:space="preserve"> Create or suffer to exist, or permit any of its Subsidiaries to create or suffer to exist, any Lien on or with respect to any of its properties, whether now owned or hereafter acquired, or assign, or permit any of its Subsidiaries to assign, any right to receive income, other than:</w:t>
      </w:r>
    </w:p>
    <w:p>
      <w:pPr>
        <w:spacing w:after="0" w:line="15" w:lineRule="exact"/>
        <w:rPr>
          <w:rFonts w:ascii="Arial" w:cs="Arial" w:eastAsia="Arial" w:hAnsi="Arial"/>
          <w:sz w:val="16"/>
          <w:szCs w:val="16"/>
          <w:color w:val="auto"/>
        </w:rPr>
      </w:pPr>
    </w:p>
    <w:p>
      <w:pPr>
        <w:ind w:left="1500" w:hanging="209"/>
        <w:spacing w:after="0"/>
        <w:tabs>
          <w:tab w:leader="none" w:pos="15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17" w:lineRule="exact"/>
        <w:rPr>
          <w:rFonts w:ascii="Arial" w:cs="Arial" w:eastAsia="Arial" w:hAnsi="Arial"/>
          <w:sz w:val="18"/>
          <w:szCs w:val="18"/>
          <w:color w:val="auto"/>
        </w:rPr>
      </w:pPr>
    </w:p>
    <w:p>
      <w:pPr>
        <w:ind w:left="440" w:firstLine="851"/>
        <w:spacing w:after="0" w:line="273" w:lineRule="auto"/>
        <w:tabs>
          <w:tab w:leader="none" w:pos="1551" w:val="left"/>
        </w:tabs>
        <w:numPr>
          <w:ilvl w:val="1"/>
          <w:numId w:val="83"/>
        </w:numPr>
        <w:rPr>
          <w:rFonts w:ascii="Arial" w:cs="Arial" w:eastAsia="Arial" w:hAnsi="Arial"/>
          <w:sz w:val="17"/>
          <w:szCs w:val="17"/>
          <w:color w:val="auto"/>
        </w:rPr>
      </w:pPr>
      <w:r>
        <w:rPr>
          <w:rFonts w:ascii="Arial" w:cs="Arial" w:eastAsia="Arial" w:hAnsi="Arial"/>
          <w:sz w:val="17"/>
          <w:szCs w:val="17"/>
          <w:color w:val="auto"/>
        </w:rPr>
        <w:t xml:space="preserve">Liens upon any property acquired, constructed or improved after the date hereof by the Borrower or a Subsidiary which are created or incurred contemporaneously with or within 180 days after such acquisition, construction or improvement to secure or provide for the payment of any part of the purchase price of such property or the cost of such construction or improvement or Debt incurred to pay that purchase price or cost of construction or improvement (but no other amounts),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Lien shall extend to or cover any properties of any character other than the real property or equipment being acquired, and no such extension, renewal or replacement shall extend to or cover any properties not theretofore subject to the Lien being extended, renewed or replaced,</w:t>
      </w:r>
    </w:p>
    <w:p>
      <w:pPr>
        <w:spacing w:after="0" w:line="70" w:lineRule="exact"/>
        <w:rPr>
          <w:rFonts w:ascii="Arial" w:cs="Arial" w:eastAsia="Arial" w:hAnsi="Arial"/>
          <w:sz w:val="17"/>
          <w:szCs w:val="17"/>
          <w:color w:val="auto"/>
        </w:rPr>
      </w:pPr>
    </w:p>
    <w:p>
      <w:pPr>
        <w:ind w:left="1600" w:hanging="309"/>
        <w:spacing w:after="0"/>
        <w:tabs>
          <w:tab w:leader="none" w:pos="16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Liens existing on the Effective Date and described on Schedule 5.02(a) hereto,</w:t>
      </w:r>
    </w:p>
    <w:p>
      <w:pPr>
        <w:spacing w:after="0" w:line="117" w:lineRule="exact"/>
        <w:rPr>
          <w:rFonts w:ascii="Arial" w:cs="Arial" w:eastAsia="Arial" w:hAnsi="Arial"/>
          <w:sz w:val="18"/>
          <w:szCs w:val="18"/>
          <w:color w:val="auto"/>
        </w:rPr>
      </w:pPr>
    </w:p>
    <w:p>
      <w:pPr>
        <w:ind w:left="440" w:right="40" w:firstLine="851"/>
        <w:spacing w:after="0" w:line="257" w:lineRule="auto"/>
        <w:tabs>
          <w:tab w:leader="none" w:pos="1591"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into or consolidated with the Borrower or any Subsidiary of the Borrower or becomes a Subsidiary of the Borrower and Liens existing on assets at the time of their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were not created in contemplation of such merger, consolidation or acquisition and do not extend to any assets other than those of the Person so merged into or consolidated with the Borrower or such Subsidiary or acquired by the Borrower or such Subsidiary or those assets so acquired, as the case may be,</w:t>
      </w:r>
    </w:p>
    <w:p>
      <w:pPr>
        <w:spacing w:after="0" w:line="80" w:lineRule="exact"/>
        <w:rPr>
          <w:rFonts w:ascii="Arial" w:cs="Arial" w:eastAsia="Arial" w:hAnsi="Arial"/>
          <w:sz w:val="18"/>
          <w:szCs w:val="18"/>
          <w:color w:val="auto"/>
        </w:rPr>
      </w:pPr>
    </w:p>
    <w:p>
      <w:pPr>
        <w:ind w:left="1540" w:hanging="249"/>
        <w:spacing w:after="0"/>
        <w:tabs>
          <w:tab w:leader="none" w:pos="1540" w:val="left"/>
        </w:tabs>
        <w:numPr>
          <w:ilvl w:val="1"/>
          <w:numId w:val="83"/>
        </w:numPr>
        <w:rPr>
          <w:rFonts w:ascii="Arial" w:cs="Arial" w:eastAsia="Arial" w:hAnsi="Arial"/>
          <w:sz w:val="17"/>
          <w:szCs w:val="17"/>
          <w:color w:val="auto"/>
        </w:rPr>
      </w:pPr>
      <w:r>
        <w:rPr>
          <w:rFonts w:ascii="Arial" w:cs="Arial" w:eastAsia="Arial" w:hAnsi="Arial"/>
          <w:sz w:val="17"/>
          <w:szCs w:val="17"/>
          <w:color w:val="auto"/>
        </w:rPr>
        <w:t>Liens arising from legal proceedings being contested by the Borrower in good faith by appropriate legal or administrative</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proceedings,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71" w:name="page72"/>
    <w:bookmarkEnd w:id="71"/>
    <w:p>
      <w:pPr>
        <w:ind w:left="1600" w:hanging="309"/>
        <w:spacing w:after="0"/>
        <w:tabs>
          <w:tab w:leader="none" w:pos="1600" w:val="left"/>
        </w:tabs>
        <w:numPr>
          <w:ilvl w:val="1"/>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on cash and cash equivalents securing obligations pursuant to non-speculative Hedge Agreements,</w:t>
      </w:r>
    </w:p>
    <w:p>
      <w:pPr>
        <w:spacing w:after="0" w:line="117" w:lineRule="exact"/>
        <w:rPr>
          <w:rFonts w:ascii="Arial" w:cs="Arial" w:eastAsia="Arial" w:hAnsi="Arial"/>
          <w:sz w:val="18"/>
          <w:szCs w:val="18"/>
          <w:color w:val="auto"/>
        </w:rPr>
      </w:pPr>
    </w:p>
    <w:p>
      <w:pPr>
        <w:ind w:left="1640" w:hanging="349"/>
        <w:spacing w:after="0"/>
        <w:tabs>
          <w:tab w:leader="none" w:pos="16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right="40" w:firstLine="851"/>
        <w:spacing w:after="0" w:line="277" w:lineRule="auto"/>
        <w:tabs>
          <w:tab w:leader="none" w:pos="1691" w:val="left"/>
        </w:tabs>
        <w:numPr>
          <w:ilvl w:val="1"/>
          <w:numId w:val="84"/>
        </w:numPr>
        <w:rPr>
          <w:rFonts w:ascii="Arial" w:cs="Arial" w:eastAsia="Arial" w:hAnsi="Arial"/>
          <w:sz w:val="18"/>
          <w:szCs w:val="18"/>
          <w:color w:val="auto"/>
        </w:rPr>
      </w:pPr>
      <w:r>
        <w:rPr>
          <w:rFonts w:ascii="Arial" w:cs="Arial" w:eastAsia="Arial" w:hAnsi="Arial"/>
          <w:sz w:val="18"/>
          <w:szCs w:val="18"/>
          <w:color w:val="auto"/>
        </w:rPr>
        <w:t>Liens arising from Section 302 of ERISA or pursuant to the PBGC’s authority under Title IV of ERISA in an aggregate principal amount not to exceed $25,000,000 at any time outstanding,</w:t>
      </w:r>
    </w:p>
    <w:p>
      <w:pPr>
        <w:spacing w:after="0" w:line="62" w:lineRule="exact"/>
        <w:rPr>
          <w:rFonts w:ascii="Arial" w:cs="Arial" w:eastAsia="Arial" w:hAnsi="Arial"/>
          <w:sz w:val="18"/>
          <w:szCs w:val="18"/>
          <w:color w:val="auto"/>
        </w:rPr>
      </w:pPr>
    </w:p>
    <w:p>
      <w:pPr>
        <w:ind w:left="1600" w:hanging="309"/>
        <w:spacing w:after="0"/>
        <w:tabs>
          <w:tab w:leader="none" w:pos="16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Liens arising pursuant to any Non-recourse Debt,</w:t>
      </w:r>
    </w:p>
    <w:p>
      <w:pPr>
        <w:spacing w:after="0" w:line="117" w:lineRule="exact"/>
        <w:rPr>
          <w:rFonts w:ascii="Arial" w:cs="Arial" w:eastAsia="Arial" w:hAnsi="Arial"/>
          <w:sz w:val="18"/>
          <w:szCs w:val="18"/>
          <w:color w:val="auto"/>
        </w:rPr>
      </w:pPr>
    </w:p>
    <w:p>
      <w:pPr>
        <w:ind w:left="1540" w:hanging="249"/>
        <w:spacing w:after="0"/>
        <w:tabs>
          <w:tab w:leader="none" w:pos="15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Liens arising in connection with the issuance of industrial revenue bonds or pollution control bonds,</w:t>
      </w:r>
    </w:p>
    <w:p>
      <w:pPr>
        <w:spacing w:after="0" w:line="117" w:lineRule="exact"/>
        <w:rPr>
          <w:rFonts w:ascii="Arial" w:cs="Arial" w:eastAsia="Arial" w:hAnsi="Arial"/>
          <w:sz w:val="18"/>
          <w:szCs w:val="18"/>
          <w:color w:val="auto"/>
        </w:rPr>
      </w:pPr>
    </w:p>
    <w:p>
      <w:pPr>
        <w:ind w:left="440" w:right="40" w:firstLine="851"/>
        <w:spacing w:after="0" w:line="342" w:lineRule="auto"/>
        <w:tabs>
          <w:tab w:leader="none" w:pos="1591" w:val="left"/>
        </w:tabs>
        <w:numPr>
          <w:ilvl w:val="1"/>
          <w:numId w:val="84"/>
        </w:numPr>
        <w:rPr>
          <w:rFonts w:ascii="Arial" w:cs="Arial" w:eastAsia="Arial" w:hAnsi="Arial"/>
          <w:sz w:val="16"/>
          <w:szCs w:val="16"/>
          <w:color w:val="auto"/>
        </w:rPr>
      </w:pPr>
      <w:r>
        <w:rPr>
          <w:rFonts w:ascii="Arial" w:cs="Arial" w:eastAsia="Arial" w:hAnsi="Arial"/>
          <w:sz w:val="16"/>
          <w:szCs w:val="16"/>
          <w:color w:val="auto"/>
        </w:rPr>
        <w:t>Liens created in connection with inventory management agreements in the ordinary course of business that do not in the aggregate materially detract from the value of the Borrower’s Consolidated assets or materially impair the use thereof in the operation of its business,</w:t>
      </w:r>
    </w:p>
    <w:p>
      <w:pPr>
        <w:spacing w:after="0" w:line="15" w:lineRule="exact"/>
        <w:rPr>
          <w:rFonts w:ascii="Arial" w:cs="Arial" w:eastAsia="Arial" w:hAnsi="Arial"/>
          <w:sz w:val="16"/>
          <w:szCs w:val="16"/>
          <w:color w:val="auto"/>
        </w:rPr>
      </w:pPr>
    </w:p>
    <w:p>
      <w:pPr>
        <w:ind w:left="440" w:right="380" w:firstLine="851"/>
        <w:spacing w:after="0" w:line="277" w:lineRule="auto"/>
        <w:tabs>
          <w:tab w:leader="none" w:pos="1641" w:val="left"/>
        </w:tabs>
        <w:numPr>
          <w:ilvl w:val="1"/>
          <w:numId w:val="84"/>
        </w:numPr>
        <w:rPr>
          <w:rFonts w:ascii="Arial" w:cs="Arial" w:eastAsia="Arial" w:hAnsi="Arial"/>
          <w:sz w:val="18"/>
          <w:szCs w:val="18"/>
          <w:color w:val="auto"/>
        </w:rPr>
      </w:pPr>
      <w:r>
        <w:rPr>
          <w:rFonts w:ascii="Arial" w:cs="Arial" w:eastAsia="Arial" w:hAnsi="Arial"/>
          <w:sz w:val="18"/>
          <w:szCs w:val="18"/>
          <w:color w:val="auto"/>
        </w:rPr>
        <w:t>Liens securing Debt related to an Accounts Receivable Securitization, provided that the amount of Debt of all such Accounts Receivable Securitizations does not exceed in the aggregate at any time outstanding $125,000,000,</w:t>
      </w:r>
    </w:p>
    <w:p>
      <w:pPr>
        <w:spacing w:after="0" w:line="62" w:lineRule="exact"/>
        <w:rPr>
          <w:rFonts w:ascii="Arial" w:cs="Arial" w:eastAsia="Arial" w:hAnsi="Arial"/>
          <w:sz w:val="18"/>
          <w:szCs w:val="18"/>
          <w:color w:val="auto"/>
        </w:rPr>
      </w:pPr>
    </w:p>
    <w:p>
      <w:pPr>
        <w:ind w:left="440" w:right="440" w:firstLine="851"/>
        <w:spacing w:after="0" w:line="277" w:lineRule="auto"/>
        <w:tabs>
          <w:tab w:leader="none" w:pos="1691" w:val="left"/>
        </w:tabs>
        <w:numPr>
          <w:ilvl w:val="1"/>
          <w:numId w:val="84"/>
        </w:numPr>
        <w:rPr>
          <w:rFonts w:ascii="Arial" w:cs="Arial" w:eastAsia="Arial" w:hAnsi="Arial"/>
          <w:sz w:val="18"/>
          <w:szCs w:val="18"/>
          <w:color w:val="auto"/>
        </w:rPr>
      </w:pPr>
      <w:r>
        <w:rPr>
          <w:rFonts w:ascii="Arial" w:cs="Arial" w:eastAsia="Arial" w:hAnsi="Arial"/>
          <w:sz w:val="18"/>
          <w:szCs w:val="18"/>
          <w:color w:val="auto"/>
        </w:rPr>
        <w:t>other Liens securing Debt or other obligations in an aggregate principal amount not to exceed 5% of the Consolidated Total Capital at any time outstanding, and</w:t>
      </w:r>
    </w:p>
    <w:p>
      <w:pPr>
        <w:spacing w:after="0" w:line="62" w:lineRule="exact"/>
        <w:rPr>
          <w:rFonts w:ascii="Arial" w:cs="Arial" w:eastAsia="Arial" w:hAnsi="Arial"/>
          <w:sz w:val="18"/>
          <w:szCs w:val="18"/>
          <w:color w:val="auto"/>
        </w:rPr>
      </w:pPr>
    </w:p>
    <w:p>
      <w:pPr>
        <w:jc w:val="both"/>
        <w:ind w:left="440" w:right="20" w:firstLine="851"/>
        <w:spacing w:after="0" w:line="264" w:lineRule="auto"/>
        <w:tabs>
          <w:tab w:leader="none" w:pos="1681"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replacement, extension or renewal of any Lien permitted by clause (iii) or (iv) above upon or in the same property theretofore subject thereto or the replacement, extension or renewal (without increase in the amount or change in any direct or contingent obligor) of the Debt secured thereby.</w:t>
      </w:r>
    </w:p>
    <w:p>
      <w:pPr>
        <w:spacing w:after="0" w:line="73" w:lineRule="exact"/>
        <w:rPr>
          <w:rFonts w:ascii="Arial" w:cs="Arial" w:eastAsia="Arial" w:hAnsi="Arial"/>
          <w:sz w:val="18"/>
          <w:szCs w:val="18"/>
          <w:color w:val="auto"/>
        </w:rPr>
      </w:pPr>
    </w:p>
    <w:p>
      <w:pPr>
        <w:ind w:firstLine="885"/>
        <w:spacing w:after="0" w:line="255" w:lineRule="auto"/>
        <w:tabs>
          <w:tab w:leader="none" w:pos="1136"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Mergers, Etc.</w:t>
      </w:r>
      <w:r>
        <w:rPr>
          <w:rFonts w:ascii="Arial" w:cs="Arial" w:eastAsia="Arial" w:hAnsi="Arial"/>
          <w:sz w:val="18"/>
          <w:szCs w:val="18"/>
          <w:color w:val="auto"/>
        </w:rPr>
        <w:t xml:space="preserve"> Merge or consolidate with or into, or convey, transfer, lease or otherwise dispose of (whether in one transaction or in a series of transactions) all or substantially all of its assets (whether now owned or hereafter acquired) to, any Person, or permit any of its Subsidiaries to do so, except that (i) any Subsidiary of the Borrower may merge or consolidate with or into, or dispose of assets to, any other Subsidiary of the Borrower, (ii) any Subsidiary of the Borrower may merge or consolidate with or into, or dispose of assets to, the Borrower, provided that the Borrower is the surviving entity of any such merger or consolidation and (iii) the Borrower may merge or consolidate with or into any other Person so long as the Borrower is the surviving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that no Default shall have occurred and be continuing at the time of such proposed transaction or would result therefrom.</w:t>
      </w:r>
    </w:p>
    <w:p>
      <w:pPr>
        <w:spacing w:after="0" w:line="81" w:lineRule="exact"/>
        <w:rPr>
          <w:rFonts w:ascii="Arial" w:cs="Arial" w:eastAsia="Arial" w:hAnsi="Arial"/>
          <w:sz w:val="18"/>
          <w:szCs w:val="18"/>
          <w:color w:val="auto"/>
        </w:rPr>
      </w:pPr>
    </w:p>
    <w:p>
      <w:pPr>
        <w:ind w:right="20" w:firstLine="885"/>
        <w:spacing w:after="0" w:line="277" w:lineRule="auto"/>
        <w:tabs>
          <w:tab w:leader="none" w:pos="1126"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Accounting Changes</w:t>
      </w:r>
      <w:r>
        <w:rPr>
          <w:rFonts w:ascii="Arial" w:cs="Arial" w:eastAsia="Arial" w:hAnsi="Arial"/>
          <w:sz w:val="18"/>
          <w:szCs w:val="18"/>
          <w:color w:val="auto"/>
        </w:rPr>
        <w:t>. Make or permit, or permit any of its Subsidiaries to make or permit, any change in accounting policies or reporting practices, except as required or permitted by generally accepted accounting principles.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72" w:name="page73"/>
    <w:bookmarkEnd w:id="72"/>
    <w:p>
      <w:pPr>
        <w:ind w:right="140" w:firstLine="444"/>
        <w:spacing w:after="0" w:line="277"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in Nature of Business</w:t>
      </w:r>
      <w:r>
        <w:rPr>
          <w:rFonts w:ascii="Arial" w:cs="Arial" w:eastAsia="Arial" w:hAnsi="Arial"/>
          <w:sz w:val="18"/>
          <w:szCs w:val="18"/>
          <w:color w:val="auto"/>
        </w:rPr>
        <w:t>. Make, or permit any of its Subsidiaries to make, any material change in the nature of its business as carried on at the Effective Date.</w:t>
      </w:r>
    </w:p>
    <w:p>
      <w:pPr>
        <w:spacing w:after="0" w:line="170" w:lineRule="exact"/>
        <w:rPr>
          <w:sz w:val="20"/>
          <w:szCs w:val="20"/>
          <w:color w:val="auto"/>
        </w:rPr>
      </w:pPr>
    </w:p>
    <w:p>
      <w:pPr>
        <w:ind w:right="260" w:firstLine="441"/>
        <w:spacing w:after="0" w:line="286"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Financial Covenant</w:t>
      </w:r>
      <w:r>
        <w:rPr>
          <w:rFonts w:ascii="Arial" w:cs="Arial" w:eastAsia="Arial" w:hAnsi="Arial"/>
          <w:sz w:val="17"/>
          <w:szCs w:val="17"/>
          <w:color w:val="auto"/>
        </w:rPr>
        <w:t>. So long as any Advance shall remain unpaid, any Letter of Credit shall remain outstanding, any other amount shall remain unpaid hereunder or under any Note or any Lender shall have any Commitment hereunder, the Borrower will maintain a ratio of Consolidated Debt to the Consolidated Total Capital of not greater than 0.65:1.00 as of the end of any fiscal quarter.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117" w:lineRule="exact"/>
        <w:rPr>
          <w:sz w:val="20"/>
          <w:szCs w:val="20"/>
          <w:color w:val="auto"/>
        </w:rPr>
      </w:pPr>
    </w:p>
    <w:p>
      <w:pPr>
        <w:jc w:val="both"/>
        <w:ind w:right="200" w:firstLine="885"/>
        <w:spacing w:after="0" w:line="259" w:lineRule="auto"/>
        <w:tabs>
          <w:tab w:leader="none" w:pos="112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Borrower shall fail to pay any principal of any Advance, Letter of Credit Borrowing or Reimbursement Obligation when the same becomes due and payable; or the Borrower shall fail to pay any interest on any Advance, Letter of Credit Borrowing or Reimbursement Obligation or fail to make any other payment of fees or other amounts payable under this Agreement, any Note or any other Loan Document within five Business Days after the same becomes due and payable; or</w:t>
      </w:r>
    </w:p>
    <w:p>
      <w:pPr>
        <w:spacing w:after="0" w:line="78" w:lineRule="exact"/>
        <w:rPr>
          <w:rFonts w:ascii="Arial" w:cs="Arial" w:eastAsia="Arial" w:hAnsi="Arial"/>
          <w:sz w:val="18"/>
          <w:szCs w:val="18"/>
          <w:color w:val="auto"/>
        </w:rPr>
      </w:pPr>
    </w:p>
    <w:p>
      <w:pPr>
        <w:ind w:right="20" w:firstLine="885"/>
        <w:spacing w:after="0" w:line="286" w:lineRule="auto"/>
        <w:tabs>
          <w:tab w:leader="none" w:pos="1136"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 representation or warranty made by the Borrower herein or by the Borrower (or any of its officers) in connection with this Agreement shall prove to have been incorrect in any material respect (or any representation or warranty which is already qualified as to materiality or by reference to a Material Adverse Effect shall prove to have been incorrect in any respect) when made or deemed made; or</w:t>
      </w:r>
    </w:p>
    <w:p>
      <w:pPr>
        <w:spacing w:after="0" w:line="57" w:lineRule="exact"/>
        <w:rPr>
          <w:rFonts w:ascii="Arial" w:cs="Arial" w:eastAsia="Arial" w:hAnsi="Arial"/>
          <w:sz w:val="17"/>
          <w:szCs w:val="17"/>
          <w:color w:val="auto"/>
        </w:rPr>
      </w:pPr>
    </w:p>
    <w:p>
      <w:pPr>
        <w:ind w:right="460" w:firstLine="885"/>
        <w:spacing w:after="0" w:line="291" w:lineRule="auto"/>
        <w:tabs>
          <w:tab w:leader="none" w:pos="1126" w:val="left"/>
        </w:tabs>
        <w:numPr>
          <w:ilvl w:val="0"/>
          <w:numId w:val="87"/>
        </w:numPr>
        <w:rPr>
          <w:rFonts w:ascii="Arial" w:cs="Arial" w:eastAsia="Arial" w:hAnsi="Arial"/>
          <w:sz w:val="16"/>
          <w:szCs w:val="16"/>
          <w:color w:val="auto"/>
        </w:rPr>
      </w:pPr>
      <w:r>
        <w:rPr>
          <w:rFonts w:ascii="Arial" w:cs="Arial" w:eastAsia="Arial" w:hAnsi="Arial"/>
          <w:sz w:val="16"/>
          <w:szCs w:val="16"/>
          <w:color w:val="auto"/>
        </w:rPr>
        <w:t>(i) The Borrower shall fail to perform or observe any term, covenant or agreement contained in Section 5.01(d) (with respect to the Borrower), (h)(iii), (i) or (j), 5.02 or 5.03, or (ii) the Borrower shall fail to perform or observe any term, covenant or agreement contained in</w:t>
      </w:r>
    </w:p>
    <w:p>
      <w:pPr>
        <w:spacing w:after="0" w:line="254" w:lineRule="auto"/>
        <w:rPr>
          <w:rFonts w:ascii="Arial" w:cs="Arial" w:eastAsia="Arial" w:hAnsi="Arial"/>
          <w:sz w:val="16"/>
          <w:szCs w:val="16"/>
          <w:color w:val="auto"/>
        </w:rPr>
      </w:pPr>
      <w:r>
        <w:rPr>
          <w:rFonts w:ascii="Arial" w:cs="Arial" w:eastAsia="Arial" w:hAnsi="Arial"/>
          <w:sz w:val="18"/>
          <w:szCs w:val="18"/>
          <w:color w:val="auto"/>
        </w:rPr>
        <w:t>Section 5.01(h) (other than clause (iii) thereof) if such failure shall remain unremedied for 5 days after written notice thereof shall have been given to the Borrower by the Agent or any Lender; or (iii) the Borrower shall fail to perform or observe any other term, covenant or agreement contained in this Agreement on its part to be performed or observed if such failure shall remain unremedied for 30 days after written notice thereof shall have been given to the Borrower by the Agent or any Lender; or</w:t>
      </w:r>
    </w:p>
    <w:p>
      <w:pPr>
        <w:spacing w:after="0" w:line="81" w:lineRule="exact"/>
        <w:rPr>
          <w:rFonts w:ascii="Arial" w:cs="Arial" w:eastAsia="Arial" w:hAnsi="Arial"/>
          <w:sz w:val="16"/>
          <w:szCs w:val="16"/>
          <w:color w:val="auto"/>
        </w:rPr>
      </w:pPr>
    </w:p>
    <w:p>
      <w:pPr>
        <w:ind w:right="20" w:firstLine="885"/>
        <w:spacing w:after="0" w:line="297" w:lineRule="auto"/>
        <w:tabs>
          <w:tab w:leader="none" w:pos="1136"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Borrower or any of its Subsidiaries shall fail to pay any principal of or premium or interest on any Debt that is outstanding in a principal or notional amount of at least $25,000,000 in the aggregate (but excluding Debt outstanding hereunder) of the Borrower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440" w:top="274" w:right="439" w:bottom="1440" w:gutter="0" w:footer="0" w:header="0"/>
        </w:sectPr>
      </w:pPr>
    </w:p>
    <w:bookmarkStart w:id="73" w:name="page74"/>
    <w:bookmarkEnd w:id="7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specified in such agreement or instrument, if the effect of such event or condition is to accelerate, or to permit the acceleration of, the maturity of such Debt;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or</w:t>
      </w:r>
    </w:p>
    <w:p>
      <w:pPr>
        <w:spacing w:after="0" w:line="79" w:lineRule="exact"/>
        <w:rPr>
          <w:sz w:val="20"/>
          <w:szCs w:val="20"/>
          <w:color w:val="auto"/>
        </w:rPr>
      </w:pPr>
    </w:p>
    <w:p>
      <w:pPr>
        <w:ind w:right="60" w:firstLine="885"/>
        <w:spacing w:after="0" w:line="289" w:lineRule="auto"/>
        <w:tabs>
          <w:tab w:leader="none" w:pos="1126"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Borrower or any of its Material Subsidiaries shall generally not pay its debts as such debts become due, or shall admit in writing its inability to pay its debts generally, or shall make a general assignment for the benefit of creditors; or any proceeding shall be instituted by or against the Borrower or any of its Material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60 days, or any of the actions sought in such proceeding (including, without limitation, the entry of an order for relief against, or the appointment of a receiver, trustee, custodian or other similar official for, it or for any substantial part of its property) shall occur; or the Borrower or any of its Material Subsidiaries shall take any corporate action to authorize any of the actions set forth above in this subsection (e); or</w:t>
      </w:r>
    </w:p>
    <w:p>
      <w:pPr>
        <w:spacing w:after="0" w:line="58" w:lineRule="exact"/>
        <w:rPr>
          <w:rFonts w:ascii="Arial" w:cs="Arial" w:eastAsia="Arial" w:hAnsi="Arial"/>
          <w:sz w:val="16"/>
          <w:szCs w:val="16"/>
          <w:color w:val="auto"/>
        </w:rPr>
      </w:pPr>
    </w:p>
    <w:p>
      <w:pPr>
        <w:ind w:right="20" w:firstLine="885"/>
        <w:spacing w:after="0" w:line="259" w:lineRule="auto"/>
        <w:tabs>
          <w:tab w:leader="none" w:pos="1106" w:val="left"/>
        </w:tabs>
        <w:numPr>
          <w:ilvl w:val="0"/>
          <w:numId w:val="88"/>
        </w:numPr>
        <w:rPr>
          <w:rFonts w:ascii="Arial" w:cs="Arial" w:eastAsia="Arial" w:hAnsi="Arial"/>
          <w:sz w:val="18"/>
          <w:szCs w:val="18"/>
          <w:color w:val="auto"/>
        </w:rPr>
      </w:pPr>
      <w:r>
        <w:rPr>
          <w:rFonts w:ascii="Arial" w:cs="Arial" w:eastAsia="Arial" w:hAnsi="Arial"/>
          <w:sz w:val="18"/>
          <w:szCs w:val="18"/>
          <w:color w:val="auto"/>
        </w:rPr>
        <w:t>Judgments or orders for the payment of money in excess of $25,000,000 in the aggregate shall be rendered against the Borrower or any of its Material Subsidiaries and either (i) enforcement proceedings shall have been commenced by any creditor upon such judgment or order or (ii) there shall be any period of 30 consecutive days during which a stay of enforcement of such judgment or order, by reason of a pending appeal or otherwise, shall not be in effect; or</w:t>
      </w:r>
    </w:p>
    <w:p>
      <w:pPr>
        <w:spacing w:after="0" w:line="78" w:lineRule="exact"/>
        <w:rPr>
          <w:rFonts w:ascii="Arial" w:cs="Arial" w:eastAsia="Arial" w:hAnsi="Arial"/>
          <w:sz w:val="18"/>
          <w:szCs w:val="18"/>
          <w:color w:val="auto"/>
        </w:rPr>
      </w:pPr>
    </w:p>
    <w:p>
      <w:pPr>
        <w:ind w:right="300" w:firstLine="885"/>
        <w:spacing w:after="0" w:line="259" w:lineRule="auto"/>
        <w:tabs>
          <w:tab w:leader="none" w:pos="113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Borrower shall cease for any reason to be directly or indirectly majority owned, beneficially and of record, by UGI Corporation, including, without limitation, that UGI Corporation shall cease to own (beneficially and of record), directly or indirectly, (i) Voting Stock of the Borrower (or other securities convertible into such Voting Stock) representing 51% or more of the combined voting power of all Voting Stock of the Borrower and (ii) 51% or more of the economic interests in the Borrower; or</w:t>
      </w:r>
    </w:p>
    <w:p>
      <w:pPr>
        <w:spacing w:after="0" w:line="78" w:lineRule="exact"/>
        <w:rPr>
          <w:rFonts w:ascii="Arial" w:cs="Arial" w:eastAsia="Arial" w:hAnsi="Arial"/>
          <w:sz w:val="18"/>
          <w:szCs w:val="18"/>
          <w:color w:val="auto"/>
        </w:rPr>
      </w:pPr>
    </w:p>
    <w:p>
      <w:pPr>
        <w:ind w:right="40" w:firstLine="885"/>
        <w:spacing w:after="0" w:line="257" w:lineRule="auto"/>
        <w:tabs>
          <w:tab w:leader="none" w:pos="113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Borrower or any of its ERISA Affiliates shall incur, or be reasonably likely to incur, liability in excess of $25,000,000 as a result of one or more ERISA Events described in subsections (c), (f) or (h) of the definition of ERISA Event, or shall fail to pay when due an amount or amounts aggregating in excess of $25,000,000 as a result of one or more of the following: (i) the occurrence of any other ERISA Event; (ii) the partial or complete withdrawal of the Borrower or any of its ERISA Affiliates from a Multiemployer Plan; or (iii) the reorganization or termination of a Multiemployer Plan;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74" w:name="page75"/>
    <w:bookmarkEnd w:id="7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then, and in any such event, the Agent (i) shall at the request, or may with the consent, of the Required Lenders, by notice to the Borrower, declare the obligation of each Lender and each Issuing Lender to make Advances or issue, amend, renew or extend Letters of Credit to be terminated, whereupon the same shall forthwith terminate, (ii) shall at the request, or may with the consent, of the Required Lenders, by notice to the Borrower,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Borrower (including, without limitation, all Letter of Credit Obligations, whether or not the beneficiaries of the then outstanding Letters of Credit shall have presented the documents required thereunder) and (iii) shall at the request, or may with the consent, of the Required Lenders, by notice to the Borrower require the Borrower to, and the Borrower shall thereupon, deposit in a non-interest bearing account with the Agent, as cash collateral for its obligations under this Agreement, an amount equal to 100% of the maximum amount currently or at any time thereafter available to be drawn on all outstanding Letters of Credit, and the Borrower hereby pledges to the Agent, the Issuing Lenders and the Lenders, and grants to the Agent, the Issuing Lenders and the Lenders a security interest in, all such cash as security for such obligations. Amounts held in such cash collateral account shall be applied by the Agent to the payment of drafts drawn under the Letters of Credit, and the unused portion thereof after all the Letters of Credit shall have expired or been fully drawn upon, if any, shall be applied to repay other obligations of the Borrower hereunder and under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with the consent of the Issuing Lender, the Agent may at any time apply any funds in such cash collateral account to any such obligations other than those in respect of Letters of Credit. After all the Letters of Credit shall have expired or been fully drawn upon, all Letter of Credit Obligations shall have been satisfied and all other obligations of the Borrower hereunder and under the Notes and other Loan Documents shall have been paid in full, the balance, if any, in such cash collateral account shall be returned to the Borrower (or such other Person or Persons as may be lawfully entitled thereto). The Borrower shall execute and deliver to the Agent, for the account of the Issuing Lenders and the Lenders, such further documents and instruments as the Agent may request to evidence the creation and perfection of the within security interest in such cash collateral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an actual or deemed entry of an order for relief with respect to the Borrower under the Federal Bankruptcy Code, (A) the obligation of each Lender to make Advances or issue Letters of Credit shall automatically be terminated and (B) the Advances, all such interest and all such amounts shall automatically become and be due and payable, without presentment, demand, protest or any notice of any kind, all of which are hereby expressly waived by the Borrower.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AGENT</w:t>
      </w:r>
    </w:p>
    <w:p>
      <w:pPr>
        <w:spacing w:after="0" w:line="225" w:lineRule="exact"/>
        <w:rPr>
          <w:sz w:val="20"/>
          <w:szCs w:val="20"/>
          <w:color w:val="auto"/>
        </w:rPr>
      </w:pPr>
    </w:p>
    <w:p>
      <w:pPr>
        <w:jc w:val="both"/>
        <w:ind w:right="300" w:firstLine="441"/>
        <w:spacing w:after="0" w:line="25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 Each of the Lenders and each of the Issuing Lenders hereby irrevocably appoints PNC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 The provisions of this Article VII are solely for the benefit of the Agent, the Lenders and the Issuing Lenders, and the Borrower shall not have rights as a third party beneficiary of any of such provisions.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75" w:name="page76"/>
    <w:bookmarkEnd w:id="75"/>
    <w:p>
      <w:pPr>
        <w:ind w:right="40" w:firstLine="44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7.02 </w:t>
      </w:r>
      <w:r>
        <w:rPr>
          <w:rFonts w:ascii="Arial" w:cs="Arial" w:eastAsia="Arial" w:hAnsi="Arial"/>
          <w:sz w:val="17"/>
          <w:szCs w:val="17"/>
          <w:u w:val="single" w:color="auto"/>
          <w:color w:val="auto"/>
        </w:rPr>
        <w:t>Rights as a Lender</w:t>
      </w:r>
      <w:r>
        <w:rPr>
          <w:rFonts w:ascii="Arial" w:cs="Arial" w:eastAsia="Arial" w:hAnsi="Arial"/>
          <w:sz w:val="17"/>
          <w:szCs w:val="17"/>
          <w:color w:val="auto"/>
        </w:rPr>
        <w:t>. The Person serving as the Agent hereunder shall have the same rights and powers in its capacity as a Lender as any other Lender and may exercise the same as though it were not the Agent and the term “</w:t>
      </w:r>
      <w:r>
        <w:rPr>
          <w:rFonts w:ascii="Arial" w:cs="Arial" w:eastAsia="Arial" w:hAnsi="Arial"/>
          <w:sz w:val="17"/>
          <w:szCs w:val="17"/>
          <w:u w:val="single" w:color="auto"/>
          <w:color w:val="auto"/>
        </w:rPr>
        <w:t>Lender</w:t>
      </w:r>
      <w:r>
        <w:rPr>
          <w:rFonts w:ascii="Arial" w:cs="Arial" w:eastAsia="Arial" w:hAnsi="Arial"/>
          <w:sz w:val="17"/>
          <w:szCs w:val="17"/>
          <w:color w:val="auto"/>
        </w:rPr>
        <w:t>” or “</w:t>
      </w:r>
      <w:r>
        <w:rPr>
          <w:rFonts w:ascii="Arial" w:cs="Arial" w:eastAsia="Arial" w:hAnsi="Arial"/>
          <w:sz w:val="17"/>
          <w:szCs w:val="17"/>
          <w:u w:val="single" w:color="auto"/>
          <w:color w:val="auto"/>
        </w:rPr>
        <w:t>Lenders</w:t>
      </w:r>
      <w:r>
        <w:rPr>
          <w:rFonts w:ascii="Arial" w:cs="Arial" w:eastAsia="Arial" w:hAnsi="Arial"/>
          <w:sz w:val="17"/>
          <w:szCs w:val="17"/>
          <w:color w:val="auto"/>
        </w:rPr>
        <w:t>” shall, unless otherwise expressly indicated or unless the context otherwise requires, include the Person serving as the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Agent hereunder and without any duty to account therefor to the Lenders. In the event that PNC or any of its Affiliates shall be or become an indenture trustee under the Trust Indenture Act of 1939 (as amended, the “</w:t>
      </w:r>
      <w:r>
        <w:rPr>
          <w:rFonts w:ascii="Arial" w:cs="Arial" w:eastAsia="Arial" w:hAnsi="Arial"/>
          <w:sz w:val="17"/>
          <w:szCs w:val="17"/>
          <w:u w:val="single" w:color="auto"/>
          <w:color w:val="auto"/>
        </w:rPr>
        <w:t>Trust Indenture Act</w:t>
      </w:r>
      <w:r>
        <w:rPr>
          <w:rFonts w:ascii="Arial" w:cs="Arial" w:eastAsia="Arial" w:hAnsi="Arial"/>
          <w:sz w:val="17"/>
          <w:szCs w:val="17"/>
          <w:color w:val="auto"/>
        </w:rPr>
        <w:t>”) in respect of any securities issued or guaranteed by the Borrower, the parties hereto acknowledge and agree that any payment or property received in satisfaction of or in respect of any obligation of the Borrower hereunder or under any other Loan Document by or on behalf of PNC in its capacity as the Agent for the benefit of any Lender under this Agreement or any Note (other than PNC or an Affiliate of PNC) and which is applied in accordance with this Agreement shall be deemed to be exempt from the requirements of Section 311 of the Trust Indenture Act pursuant to Section 311(b)(3) of the Trust Indenture Act.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The Agent shall not have any duties or obligations except those expressly set forth herein and in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 Documents. Without limiting the generality of the foregoing, the Agent:</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 shall not be subject to any fiduciary or other implied duties, regardless of whether a Default or Event of Default has occurred and 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continuing;</w:t>
      </w:r>
    </w:p>
    <w:p>
      <w:pPr>
        <w:spacing w:after="0" w:line="103" w:lineRule="exact"/>
        <w:rPr>
          <w:sz w:val="20"/>
          <w:szCs w:val="20"/>
          <w:color w:val="auto"/>
        </w:rPr>
      </w:pPr>
    </w:p>
    <w:p>
      <w:pPr>
        <w:ind w:right="40" w:firstLine="885"/>
        <w:spacing w:after="0" w:line="257" w:lineRule="auto"/>
        <w:tabs>
          <w:tab w:leader="none" w:pos="1136"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Agent shall not be required to take any action that, in its opinion or the opinion of its counsel, may expose the Agent to liability or that is contrary to any Loan Document or applicable law; and</w:t>
      </w:r>
    </w:p>
    <w:p>
      <w:pPr>
        <w:spacing w:after="0" w:line="80" w:lineRule="exact"/>
        <w:rPr>
          <w:rFonts w:ascii="Arial" w:cs="Arial" w:eastAsia="Arial" w:hAnsi="Arial"/>
          <w:sz w:val="18"/>
          <w:szCs w:val="18"/>
          <w:color w:val="auto"/>
        </w:rPr>
      </w:pPr>
    </w:p>
    <w:p>
      <w:pPr>
        <w:ind w:right="120" w:firstLine="885"/>
        <w:spacing w:after="0" w:line="264" w:lineRule="auto"/>
        <w:tabs>
          <w:tab w:leader="none" w:pos="1126"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Agent or any of its Affiliates in any capacity.</w:t>
      </w:r>
    </w:p>
    <w:p>
      <w:pPr>
        <w:spacing w:after="0" w:line="18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Agent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Sections 6.01 and 8.01) in the absence of its own gross negligence or willful misconduct. The Agent shall be deemed not to have knowledge of any Default or Event of Default unless and until notice describing such Default or Event of Default is given to the Agent by the Borrower, a Lender or the Issuing Lender.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440" w:top="274" w:right="439" w:bottom="1440" w:gutter="0" w:footer="0" w:header="0"/>
        </w:sectPr>
      </w:pPr>
    </w:p>
    <w:bookmarkStart w:id="76" w:name="page77"/>
    <w:bookmarkEnd w:id="76"/>
    <w:p>
      <w:pPr>
        <w:ind w:right="100" w:firstLine="88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Section 3 or elsewhere herein, other than to confirm receipt of items expressly required to be delivered to the Agent.</w:t>
      </w:r>
    </w:p>
    <w:p>
      <w:pPr>
        <w:spacing w:after="0" w:line="178" w:lineRule="exact"/>
        <w:rPr>
          <w:sz w:val="20"/>
          <w:szCs w:val="20"/>
          <w:color w:val="auto"/>
        </w:rPr>
      </w:pPr>
    </w:p>
    <w:p>
      <w:pPr>
        <w:ind w:right="100" w:firstLine="441"/>
        <w:spacing w:after="0" w:line="270"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Reliance by Agent</w:t>
      </w:r>
      <w:r>
        <w:rPr>
          <w:rFonts w:ascii="Arial" w:cs="Arial" w:eastAsia="Arial" w:hAnsi="Arial"/>
          <w:sz w:val="17"/>
          <w:szCs w:val="17"/>
          <w:color w:val="auto"/>
        </w:rPr>
        <w:t>. 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an Advance, or the issuance, amendment or extension of a Letter of Credit, that by its terms must be fulfilled to the satisfaction of a Lender or an Issuing Lender, the Agent may presume that such condition is satisfactory to such Lender or such Issuing Lender unless the Agent shall have received notice to the contrary from such Lender or such Issuing Lender prior to the making of such Advance or the issuance, amendment or extension of such Letter of Credit. The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Agent may perform any and all of its duties and exercise its rights and powers hereunder or under any other Loan Document by or through any one or more sub-agents appointed by the Agent. The Agent and any such sub-agent may perform any and all of its duties and exercise its rights and powers by or through their respective Affiliates. The exculpatory provisions of this Article 7 shall apply to any such sub-agent and to the Affiliates of the Agent and any such sub-agent, and shall apply to their respective activities in connection with the syndication of the credit facilities provided for herein as well as activities as Agent.</w:t>
      </w:r>
    </w:p>
    <w:p>
      <w:pPr>
        <w:spacing w:after="0" w:line="18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Resignation of Agent</w:t>
      </w:r>
      <w:r>
        <w:rPr>
          <w:rFonts w:ascii="Arial" w:cs="Arial" w:eastAsia="Arial" w:hAnsi="Arial"/>
          <w:sz w:val="18"/>
          <w:szCs w:val="18"/>
          <w:color w:val="auto"/>
        </w:rPr>
        <w:t>. The Agent may at any time give notice of its resignation to the Lenders, the Issuing Lenders and the Borrower. Upon receipt of any such notice of resignation, the Required Lenders shall have the right, with approval from the Borrower (so long as no Event of Default has occurred and is continuing), to appoint a successor, such approval not to be unreasonably withheld or delayed. If no such successor shall have been so appointed by the Required Lenders and shall have accepted such appointment within thirty (30) days after the retiring Agent gives notice of its resignation, then the Borrower (so long as no Event of Default has occurred and is continuing) may appoint a successor agent, which successor may be replaced by the Required Lenders; provided that such replacement is, so long as no Event of Default has occurred and is continuing, reasonably acceptable to the Borrower. If no</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77" w:name="page78"/>
    <w:bookmarkEnd w:id="77"/>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successor shall have been so appointed by the Required Lenders or the Borrower within sixty (60) days after the retiring Agent gives notice of its resignation, then the retiring Agent may on behalf of the Lenders and the Issuing Lenders, appoint a successor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Agent shall notify the Borrower and the Lenders that no qualifying Person has accepted such appointment, then such resignation shall nonetheless become effective in accordance with such notice and (a) the retiring Agent shall be discharged from its duties and obligations hereunder and under the other Loan Documents (except that in the case of collateral security, if any, held by the Agent on behalf of the Lenders or the Issuing Lenders under any of the Loan Documents, the retiring Agent shall continue to hold such collateral security until such time as a successor Agent is appointed) and (b) all payments, communications and determinations provided to be made by, to or through the Agent shall instead be made by or to each Lender and each Issuing Lender directly, until such time as the Required Lenders appoint a successor Agent as provided for above in this Section 7.06. Upon the acceptance of a successor’s appointment as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Section). The fees payable by the Borrower to a successor Agent shall be the same as those payable to its predecessor unless otherwise agreed between the Borrower and such successor. After the retiring Agent’s resignation hereunder and under the other Loan Documents, the provisions of this Article 7 and Section 8.04 shall continue in effect for the benefit of such retiring Agent, its sub-agents and their respective Affiliates in respect of any actions taken or omitted to be taken by any of them while the retiring Agent was acting as Agent.</w:t>
      </w:r>
    </w:p>
    <w:p>
      <w:pPr>
        <w:spacing w:after="0" w:line="183" w:lineRule="exact"/>
        <w:rPr>
          <w:sz w:val="20"/>
          <w:szCs w:val="20"/>
          <w:color w:val="auto"/>
        </w:rPr>
      </w:pPr>
    </w:p>
    <w:p>
      <w:pPr>
        <w:ind w:firstLine="881"/>
        <w:spacing w:after="0" w:line="276" w:lineRule="auto"/>
        <w:rPr>
          <w:sz w:val="20"/>
          <w:szCs w:val="20"/>
          <w:color w:val="auto"/>
        </w:rPr>
      </w:pPr>
      <w:r>
        <w:rPr>
          <w:rFonts w:ascii="Arial" w:cs="Arial" w:eastAsia="Arial" w:hAnsi="Arial"/>
          <w:sz w:val="17"/>
          <w:szCs w:val="17"/>
          <w:color w:val="auto"/>
        </w:rPr>
        <w:t>If PNC resigns as Agent under this Section 7.06, PNC shall also resign as an Issuing Lender. Upon the appointment of a successor Agent hereunder, such successor shall (i) succeed to all of the rights, powers, privileges and duties of PNC as the retiring Issuing Lender and Agent and PNC shall be discharged from all of its respective duties and obligations as Issuing Lender and Agent under the Loan Documents, and (ii) issue letters of credit in substitution for the Letters of Credit issued by PNC, if any, outstanding at the time of such succession or make other arrangement satisfactory to PNC to effectively assume the obligations of PNC with respect to such Letters of Credit.</w:t>
      </w:r>
    </w:p>
    <w:p>
      <w:pPr>
        <w:spacing w:after="0" w:line="173"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Non-Reliance on Agent and Other Lenders</w:t>
      </w:r>
      <w:r>
        <w:rPr>
          <w:rFonts w:ascii="Arial" w:cs="Arial" w:eastAsia="Arial" w:hAnsi="Arial"/>
          <w:sz w:val="17"/>
          <w:szCs w:val="17"/>
          <w:color w:val="auto"/>
        </w:rPr>
        <w:t>. Each Lender and each Issuing Lender acknowledges that it has, independently and without reliance upon the Agent or any other Lender or any of their Affiliates and based on such documents and information as it has deemed appropriate, made its own credit analysis and decision to enter into this Agreement. Each Lender and each Issuing Lender also acknowledges that it will, independently and without reliance upon the Agent or any other Lender or any of their Affiliates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8"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No Reliance on Agent’s Customer Identification Program</w:t>
      </w:r>
      <w:r>
        <w:rPr>
          <w:rFonts w:ascii="Arial" w:cs="Arial" w:eastAsia="Arial" w:hAnsi="Arial"/>
          <w:sz w:val="18"/>
          <w:szCs w:val="18"/>
          <w:color w:val="auto"/>
        </w:rPr>
        <w:t>. Each Lender acknowledges and agrees that neither such Lender, nor any of its Affiliates, participants or assignees, may rely on the Agent to carry out such Lender’s, Affiliate’s, participant’s or assignee’s customer identification program, or other obligations required or imposed under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440" w:top="274" w:right="439" w:bottom="1440" w:gutter="0" w:footer="0" w:header="0"/>
        </w:sectPr>
      </w:pPr>
    </w:p>
    <w:bookmarkStart w:id="78" w:name="page79"/>
    <w:bookmarkEnd w:id="7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the Patriot Act or the regulations thereunder, including the regulations contained in 31 CFR 103.121 (as hereafter amended or replaced, the “</w:t>
      </w:r>
      <w:r>
        <w:rPr>
          <w:rFonts w:ascii="Arial" w:cs="Arial" w:eastAsia="Arial" w:hAnsi="Arial"/>
          <w:sz w:val="16"/>
          <w:szCs w:val="16"/>
          <w:u w:val="single" w:color="auto"/>
          <w:color w:val="auto"/>
        </w:rPr>
        <w:t>CIP Regulations</w:t>
      </w:r>
      <w:r>
        <w:rPr>
          <w:rFonts w:ascii="Arial" w:cs="Arial" w:eastAsia="Arial" w:hAnsi="Arial"/>
          <w:sz w:val="16"/>
          <w:szCs w:val="16"/>
          <w:color w:val="auto"/>
        </w:rPr>
        <w:t>”), or any other Anti-Terrorism Law, including any programs involving any of the following items relating to or in connection with the Borrower, its Affiliates or its agents, the Loan Documents or the transactions hereunder or contemplated hereby: (a) any identity verification procedures,</w:t>
      </w:r>
    </w:p>
    <w:p>
      <w:pPr>
        <w:ind w:right="140" w:firstLine="4"/>
        <w:spacing w:after="0" w:line="261" w:lineRule="auto"/>
        <w:tabs>
          <w:tab w:leader="none" w:pos="2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recordkeeping, (c) comparisons with government lists, (d) customer notices or (e) other procedures required under the CIP Regulations or such other Laws.</w:t>
      </w:r>
    </w:p>
    <w:p>
      <w:pPr>
        <w:spacing w:after="0" w:line="184"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Lenders agree to indemnify the Agent and the Issuing Lenders (to the extent not reimbursed by the Borrower), ratably according to their respective Ratable Shares, from and against any and all liabilities, obligations, losses, damages, penalties, actions, judgments, suits, costs, expenses or disbursements of any kind or nature whatsoever that may be imposed on, incurred by, or asserted against the Agent or any Issuing Lender in any way relating to or arising out of this Agreement or the other Loan Documents or any action taken or omitted by the Agent or any Issuing Lender under this Agreement or the other Loan Documents (collectively, the “</w:t>
      </w:r>
      <w:r>
        <w:rPr>
          <w:rFonts w:ascii="Arial" w:cs="Arial" w:eastAsia="Arial" w:hAnsi="Arial"/>
          <w:sz w:val="17"/>
          <w:szCs w:val="17"/>
          <w:u w:val="single" w:color="auto"/>
          <w:color w:val="auto"/>
        </w:rPr>
        <w:t>Indemnified Costs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liable (i) to the Agent for any portion of the Indemnified Costs resulting from the Agent’s gross negligence or willful misconduct as determined by a final, non-appealable judgment of a court of competent jurisdiction or (ii) to an Issuing Lender for any portion of the Indemnified Costs resulting from such Issuing Lender’s gross negligence or willful misconduct as determined by a final, non-appealable judgment of a court of competent jurisdiction. Without limitation of the foregoing, each Lender agrees to reimburse the Agent and the Issuing Lender promptly upon demand for its Ratable Share of any out-of-pocket expenses (including reasonable fees and expenses of counsel) incurred by the Agent or the Issuing Lender in connection with the preparation, execution, delivery, administration, modification, amendment or enforcement (whether through negotiations, legal proceedings or otherwise) of, or legal advice in respect of rights or responsibilities under, this Agreement or the other Loan Documents, to the extent that the Agent or the Issuing Lender, as the case may be, is not reimbursed for such expenses by the Borrower. In the case of any investigation, litigation or proceeding giving rise to any Indemnified Costs, this Section 7.09 applies whether any such investigation, litigation or proceeding is brought by the Agent, any Issuing Lender, any Lender or a third party.</w:t>
      </w:r>
    </w:p>
    <w:p>
      <w:pPr>
        <w:spacing w:after="0" w:line="183"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No Other Duties, etc.</w:t>
      </w:r>
      <w:r>
        <w:rPr>
          <w:rFonts w:ascii="Arial" w:cs="Arial" w:eastAsia="Arial" w:hAnsi="Arial"/>
          <w:sz w:val="16"/>
          <w:szCs w:val="16"/>
          <w:color w:val="auto"/>
        </w:rPr>
        <w:t xml:space="preserve"> Anything herein to the contrary notwithstanding, none of the syndication agent or any other Person designated as any “Agent”, “Arranger” or “Bookrunner” listed on the cover page hereof shall have any powers, duties or responsibilities under this Agreement or any of the other Loan Documents, except in its capacity, as and the extent applicable, as the Agent, a Lender or an Issuing Lender hereunder.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No amendment or waiver of any provision of this Agreement or any Note, nor consent to any departure by the Borrower therefrom, shall in any event be effective unless the same shall be in writing and signed by the Required Lenders and the Borrower, and then such waiver or consent shall be effective only in the specific instance and for the specific purpose for which given;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no amendment, waiver or consent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79" w:name="page80"/>
    <w:bookmarkEnd w:id="79"/>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unless in writing (a) signed by each of the Lenders directly affected thereby, do any of the following: (i) increase the Commitments of the Lenders (other than as contemplated by Section 2.19), (ii) reduce the principal of, or interest on, the Advances, the Letter of Credit Obligations or any fees or other amounts payable hereunder, or (iii) postpone any date fixed for any payment of principal of, or interest on, the Advances or any fees or other amounts payable hereunder or (b) signed by all of the Lenders, do any of the following: (i) waive any of the conditions specified in Section 3.01,</w:t>
      </w:r>
    </w:p>
    <w:p>
      <w:pPr>
        <w:spacing w:after="0" w:line="2" w:lineRule="exact"/>
        <w:rPr>
          <w:sz w:val="20"/>
          <w:szCs w:val="20"/>
          <w:color w:val="auto"/>
        </w:rPr>
      </w:pPr>
    </w:p>
    <w:p>
      <w:pPr>
        <w:ind w:right="20" w:firstLine="4"/>
        <w:spacing w:after="0" w:line="269" w:lineRule="auto"/>
        <w:tabs>
          <w:tab w:leader="none" w:pos="265" w:val="left"/>
        </w:tabs>
        <w:numPr>
          <w:ilvl w:val="0"/>
          <w:numId w:val="91"/>
        </w:numPr>
        <w:rPr>
          <w:rFonts w:ascii="Arial" w:cs="Arial" w:eastAsia="Arial" w:hAnsi="Arial"/>
          <w:sz w:val="17"/>
          <w:szCs w:val="17"/>
          <w:color w:val="auto"/>
        </w:rPr>
      </w:pPr>
      <w:r>
        <w:rPr>
          <w:rFonts w:ascii="Arial" w:cs="Arial" w:eastAsia="Arial" w:hAnsi="Arial"/>
          <w:sz w:val="17"/>
          <w:szCs w:val="17"/>
          <w:color w:val="auto"/>
        </w:rPr>
        <w:t>change the percentage of the Commitments (other than an adjustment in connection with a Commitment Increase) or of the aggregate unpaid principal amount of the Advances and Letter of Credit Obligations, or the number of Lenders, that shall be required for the Lenders or any of them to take any action hereunder, (iii) change Section 2.16 in a manner that would alter the pro rata sharing of payments required thereby, (iv) change Section 2.04(a) in a manner that would permit the expiration date of any Letter of Credit to occur after the Termination Date or (v) amend this Section 8.01. Notwithstanding the foregoing, no amendment, waiver or consent shall affect the rights or duties of the Agent, an Issuing Lender or the Swing Line Lender under this Agreement or any other Loan Document unless in writing and signed by the Agent, such Issuing Lender and/or the Swing Line Lender, as the case may be, in addition to the Lenders required above to take such action.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Notices, Etc.</w:t>
      </w:r>
    </w:p>
    <w:p>
      <w:pPr>
        <w:spacing w:after="0" w:line="117" w:lineRule="exact"/>
        <w:rPr>
          <w:sz w:val="20"/>
          <w:szCs w:val="20"/>
          <w:color w:val="auto"/>
        </w:rPr>
      </w:pPr>
    </w:p>
    <w:p>
      <w:pPr>
        <w:ind w:firstLine="885"/>
        <w:spacing w:after="0" w:line="283" w:lineRule="auto"/>
        <w:tabs>
          <w:tab w:leader="none" w:pos="1126" w:val="left"/>
        </w:tabs>
        <w:numPr>
          <w:ilvl w:val="1"/>
          <w:numId w:val="92"/>
        </w:numPr>
        <w:rPr>
          <w:rFonts w:ascii="Arial" w:cs="Arial" w:eastAsia="Arial" w:hAnsi="Arial"/>
          <w:sz w:val="16"/>
          <w:szCs w:val="16"/>
          <w:color w:val="auto"/>
        </w:rPr>
      </w:pPr>
      <w:r>
        <w:rPr>
          <w:rFonts w:ascii="Arial" w:cs="Arial" w:eastAsia="Arial" w:hAnsi="Arial"/>
          <w:sz w:val="16"/>
          <w:szCs w:val="16"/>
          <w:color w:val="auto"/>
        </w:rPr>
        <w:t>All notices and other communications provided for hereunder shall be either in writing (including telecopier or other electronic communication) and mailed, electronically transmitted or delivered, if to the Borrower, at its address at 2525 North 12</w:t>
      </w:r>
      <w:r>
        <w:rPr>
          <w:rFonts w:ascii="Arial" w:cs="Arial" w:eastAsia="Arial" w:hAnsi="Arial"/>
          <w:sz w:val="13"/>
          <w:szCs w:val="13"/>
          <w:color w:val="auto"/>
        </w:rPr>
        <w:t>th</w:t>
      </w:r>
      <w:r>
        <w:rPr>
          <w:rFonts w:ascii="Arial" w:cs="Arial" w:eastAsia="Arial" w:hAnsi="Arial"/>
          <w:sz w:val="16"/>
          <w:szCs w:val="16"/>
          <w:color w:val="auto"/>
        </w:rPr>
        <w:t xml:space="preserve"> Street, Suite 360, Reading, PA 19612, Attention: Treasurer, with a copy to UGI Utilities, Inc., Box 858, Valley Forge, PA 19482, Attention: General Counsel; if to any Initial Lender, at its Domestic Lending Office specified opposite its name on Schedule I hereto; if to any other Lender, at its Domestic Lending Office specified in the Assumption Agreement or the Assignment and Assumption pursuant to which it became a Lender; and if to the Agent or the Issuing Lender, at its address at 1000 Westlakes Drive, Suite 300, Berwyn, Pennsylvania 19312, Attention: Domenic D’Ginto with a copy to PNC Bank, National Association, PNC Firstside Center, 500 First Avenue, 4</w:t>
      </w:r>
      <w:r>
        <w:rPr>
          <w:rFonts w:ascii="Arial" w:cs="Arial" w:eastAsia="Arial" w:hAnsi="Arial"/>
          <w:sz w:val="13"/>
          <w:szCs w:val="13"/>
          <w:color w:val="auto"/>
        </w:rPr>
        <w:t>th</w:t>
      </w:r>
      <w:r>
        <w:rPr>
          <w:rFonts w:ascii="Arial" w:cs="Arial" w:eastAsia="Arial" w:hAnsi="Arial"/>
          <w:sz w:val="16"/>
          <w:szCs w:val="16"/>
          <w:color w:val="auto"/>
        </w:rPr>
        <w:t xml:space="preserve"> Floor, Pittsburgh, PA 15219, Attention: Agency Services; or, as to the Borrower or the Agent, at such other address as shall be designated by such party in a written notice to the other parties and, as to each other party, at such other address as shall be designated by such party in a written notice to the Borrower and the Agent, except in each case as otherwise provided in Section 8.02(b) and</w:t>
      </w:r>
    </w:p>
    <w:p>
      <w:pPr>
        <w:spacing w:after="0" w:line="6" w:lineRule="exact"/>
        <w:rPr>
          <w:rFonts w:ascii="Arial" w:cs="Arial" w:eastAsia="Arial" w:hAnsi="Arial"/>
          <w:sz w:val="16"/>
          <w:szCs w:val="16"/>
          <w:color w:val="auto"/>
        </w:rPr>
      </w:pPr>
    </w:p>
    <w:p>
      <w:pPr>
        <w:ind w:right="60" w:firstLine="4"/>
        <w:spacing w:after="0" w:line="253" w:lineRule="auto"/>
        <w:tabs>
          <w:tab w:leader="none" w:pos="245"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below. All such notices and communications shall, when mailed or electronically transmitted, be effective when deposited in the mail or confirmed by electronic transmission, respectively, except that notices and communications to the Agent or the Issuing Lender pursuant to Article II, III or VII shall not be effective until received by the Agent. Delivery by telecopier or other electronic imaging of an executed counterpart of any amendment or waiver of any provision of this Agreement or the Notes or of any Exhibit hereto to be executed and delivered hereunder shall be effective as delivery of a manually executed counterpart thereof.</w:t>
      </w:r>
    </w:p>
    <w:p>
      <w:pPr>
        <w:spacing w:after="0" w:line="83" w:lineRule="exact"/>
        <w:rPr>
          <w:rFonts w:ascii="Arial" w:cs="Arial" w:eastAsia="Arial" w:hAnsi="Arial"/>
          <w:sz w:val="18"/>
          <w:szCs w:val="18"/>
          <w:color w:val="auto"/>
        </w:rPr>
      </w:pPr>
    </w:p>
    <w:p>
      <w:pPr>
        <w:ind w:right="160" w:firstLine="885"/>
        <w:spacing w:after="0" w:line="264" w:lineRule="auto"/>
        <w:tabs>
          <w:tab w:leader="none" w:pos="1136" w:val="left"/>
        </w:tabs>
        <w:numPr>
          <w:ilvl w:val="1"/>
          <w:numId w:val="93"/>
        </w:numPr>
        <w:rPr>
          <w:rFonts w:ascii="Arial" w:cs="Arial" w:eastAsia="Arial" w:hAnsi="Arial"/>
          <w:sz w:val="18"/>
          <w:szCs w:val="18"/>
          <w:color w:val="auto"/>
        </w:rPr>
      </w:pPr>
      <w:r>
        <w:rPr>
          <w:rFonts w:ascii="Arial" w:cs="Arial" w:eastAsia="Arial" w:hAnsi="Arial"/>
          <w:sz w:val="18"/>
          <w:szCs w:val="18"/>
          <w:color w:val="auto"/>
        </w:rPr>
        <w:t>So long as PNC or any of its Affiliates is the Agent, materials required to be delivered pursuant to Section 5.01(h)(i), (ii) and (iv) shall be delivered to the Agent as set forth in Section 5.01 or as otherwise approved by the Agent. The Borrower agrees that the Agent may make such materials, as well as any other written information, documents,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80"/>
          </w:cols>
          <w:pgMar w:left="440" w:top="274" w:right="479" w:bottom="1440" w:gutter="0" w:footer="0" w:header="0"/>
        </w:sectPr>
      </w:pPr>
    </w:p>
    <w:bookmarkStart w:id="80" w:name="page81"/>
    <w:bookmarkEnd w:id="80"/>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instruments and other material relating to the Borrower, any of its Subsidiaries or any other materials or matters relating to this Agreement, the Notes or any of the transactions contemplated hereby (collectively, the “</w:t>
      </w:r>
      <w:r>
        <w:rPr>
          <w:rFonts w:ascii="Arial" w:cs="Arial" w:eastAsia="Arial" w:hAnsi="Arial"/>
          <w:sz w:val="16"/>
          <w:szCs w:val="16"/>
          <w:u w:val="single" w:color="auto"/>
          <w:color w:val="auto"/>
        </w:rPr>
        <w:t>Communications</w:t>
      </w:r>
      <w:r>
        <w:rPr>
          <w:rFonts w:ascii="Arial" w:cs="Arial" w:eastAsia="Arial" w:hAnsi="Arial"/>
          <w:sz w:val="16"/>
          <w:szCs w:val="16"/>
          <w:color w:val="auto"/>
        </w:rPr>
        <w:t>”) available to the Lenders by posting such notices on Syndtrak, Intralinks or a substantially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The Borrower acknowledges that (i) the distribution of material through an electronic medium is not necessarily secure and that there are confidentiality and other risks associated with such distribution, (ii) the Platform is provided “as is” and “as available” and (iii) neither the Agent nor any of its Affiliates warrants the accuracy, adequacy or completeness of the Communications or the Platform and each expressly disclaims liability for errors or omissions in the Communications or the Platform. No warranty of any kind, express, implied or statutory, including, without limitation, any warranty of merchantability, fitness for a particular purpose, non-infringement of third party rights or freedom from viruses or other code defects, is made by the Agent or any of its Affiliates in connection with the Platform.</w:t>
      </w:r>
    </w:p>
    <w:p>
      <w:pPr>
        <w:spacing w:after="0" w:line="166" w:lineRule="exact"/>
        <w:rPr>
          <w:sz w:val="20"/>
          <w:szCs w:val="20"/>
          <w:color w:val="auto"/>
        </w:rPr>
      </w:pPr>
    </w:p>
    <w:p>
      <w:pPr>
        <w:ind w:firstLine="885"/>
        <w:spacing w:after="0" w:line="286" w:lineRule="auto"/>
        <w:tabs>
          <w:tab w:leader="none" w:pos="1126" w:val="left"/>
        </w:tabs>
        <w:numPr>
          <w:ilvl w:val="0"/>
          <w:numId w:val="94"/>
        </w:numPr>
        <w:rPr>
          <w:rFonts w:ascii="Arial" w:cs="Arial" w:eastAsia="Arial" w:hAnsi="Arial"/>
          <w:sz w:val="16"/>
          <w:szCs w:val="16"/>
          <w:color w:val="auto"/>
        </w:rPr>
      </w:pPr>
      <w:r>
        <w:rPr>
          <w:rFonts w:ascii="Arial" w:cs="Arial" w:eastAsia="Arial" w:hAnsi="Arial"/>
          <w:sz w:val="16"/>
          <w:szCs w:val="16"/>
          <w:color w:val="auto"/>
        </w:rPr>
        <w:t>Each Lender and each Issuing Lender agrees that notices and communications to such Lender or such Issuing Lender hereunder may be delivered or furnished by e-mail communication or other electronic communication (a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including by specifying that any Communications have been posted to the Platform, which in each such case constitute effective delivery of such information, documents or other materials to such Lender or such Issuing Lender for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any Issuing Lender if such Lender or such Issuing Lender, as applicable, has notified the Agent that it is incapable of receiving notices by electronic communication. Each Lender agrees (x) to notify the Agent in writing of such Lender’s e-mail address to which a Notice may be sent by electronic transmission (including by electronic communication) on or before the date such Lender becomes a party to this Agreement (and from time to time thereafter to ensure that the Agent has on record an effective e-mail address for such Lender) and (y) that any Notice may be sent to such e-mail address. 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72"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440" w:top="274" w:right="439" w:bottom="1440" w:gutter="0" w:footer="0" w:header="0"/>
        </w:sectPr>
      </w:pPr>
    </w:p>
    <w:bookmarkStart w:id="81" w:name="page82"/>
    <w:bookmarkEnd w:id="8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8.04 </w:t>
      </w:r>
      <w:r>
        <w:rPr>
          <w:rFonts w:ascii="Arial" w:cs="Arial" w:eastAsia="Arial" w:hAnsi="Arial"/>
          <w:sz w:val="18"/>
          <w:szCs w:val="18"/>
          <w:u w:val="single" w:color="auto"/>
          <w:color w:val="auto"/>
        </w:rPr>
        <w:t>Costs and Expenses</w:t>
      </w:r>
      <w:r>
        <w:rPr>
          <w:rFonts w:ascii="Arial" w:cs="Arial" w:eastAsia="Arial" w:hAnsi="Arial"/>
          <w:sz w:val="18"/>
          <w:szCs w:val="18"/>
          <w:color w:val="auto"/>
        </w:rPr>
        <w:t>.</w:t>
      </w:r>
    </w:p>
    <w:p>
      <w:pPr>
        <w:spacing w:after="0" w:line="117" w:lineRule="exact"/>
        <w:rPr>
          <w:sz w:val="20"/>
          <w:szCs w:val="20"/>
          <w:color w:val="auto"/>
        </w:rPr>
      </w:pPr>
    </w:p>
    <w:p>
      <w:pPr>
        <w:ind w:left="-20" w:firstLine="885"/>
        <w:spacing w:after="0" w:line="285" w:lineRule="auto"/>
        <w:tabs>
          <w:tab w:leader="none" w:pos="1106"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Borrower agrees to pay on demand all reasonable and documented out-of-pocket costs and expenses of the Agent in connection with the preparation, execution, delivery, administration, modification and amendment of this Agreement, the Notes, the Letters of Credit issued hereunder and the other documents to be delivered hereunder, including, without limitation, (A) all due diligence, syndication (including printing, distribution and bank meetings), transportation, computer, duplication, appraisal, consultant, and audit expenses and (B) the reasonable and documented out-of-pocket fees and expenses of counsel for the Agent with respect thereto and with respect to advising the Agent as to its rights and responsibilities under this Agreement or any amendment, supplement or modification of, or any waiver or consent under or in respect of (or any proposed amendment or supplement to or modification or waiver of), this Agreement, the other Loan Documents and any such other documents (limited to one primary counsel for the Agent and, if deemed necessary by the Agent, one special counsel for each relevant specialty and one local counsel in each relevant jurisdiction and, in the case of any actual or perceived conflict of interest, one additional counsel for each Person or group of Persons subject to such conflict). The Borrower further agrees to pay promptly all reasonable and documented out-of-pocket costs and expenses (including, without limitation, reasonable and documented out-of-pocket counsel fees and expenses) of (i) each Issuing Lender in connection with the issuance, amendment, renewal or extension of any Letter of Credit issued by such Issuing Lender or any demand for payment thereunder, (ii) the Agent in connection with any workout, restructuring or negotiations in respect of the Advances, Swing Line Advances or Letters of Credit or other obligation hereunder or under the other Loan Documents and (iii) the Agent, the Lenders and the Issuing Lenders in connection with the enforcement (whether through negotiations, legal proceedings or otherwise) of this Agreement, the Notes and the other documents to be delivered hereunder, including, without limitation, reasonable and documented out-of-pocket fees and expenses of counsel for the Agent and each Lender in connection with the enforcement or preservation of any rights under this Agreement and the other Loan Documents (limited in the case of this clause (iii) to one primary counsel for the Agent and, if deemed necessary by the Agent, one special counsel for each relevant specialty and one local counsel in each relevant jurisdiction and, in the case of any actual or perceived conflict of interest, one additional counsel for each Person or group of Persons subject to such conflict).</w:t>
      </w:r>
    </w:p>
    <w:p>
      <w:pPr>
        <w:spacing w:after="0" w:line="62" w:lineRule="exact"/>
        <w:rPr>
          <w:rFonts w:ascii="Arial" w:cs="Arial" w:eastAsia="Arial" w:hAnsi="Arial"/>
          <w:sz w:val="16"/>
          <w:szCs w:val="16"/>
          <w:color w:val="auto"/>
        </w:rPr>
      </w:pPr>
    </w:p>
    <w:p>
      <w:pPr>
        <w:ind w:left="-20" w:firstLine="885"/>
        <w:spacing w:after="0" w:line="289" w:lineRule="auto"/>
        <w:tabs>
          <w:tab w:leader="none" w:pos="1116"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Borrower agrees to indemnify and hold harmless the Agent, each Lender, each Issuing Lender, any Person named as Syndication Agent, Arranger or Bookrunner on the cover page of this Agreement, and each of their Affiliates and their officers, directors, employees, agents and advisors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from and against any and all claims, damages, losses, liabilities and reasonable expenses (including, without limitation, reasonable fees and expenses of counsel and any civil penalties or fines assessed by OFAC) incurred by or asserted or awarded against any Indemnified Party, in each case arising out of or in connection with or by reason of (including, without limitation, in connection with any investigation, litigation or proceeding or preparation of a defense in connection therewith) (i) the Notes, this Agreement, any Letter of Credit (including (x) any refusal by an Issuing Lender to honor a demand for payment under a Letter of Credit if the documents presented in connection with such demand do not strictly comply with the terms of such Letter of Credit or (y) any dishonor by an Issuing Lender or any of such Issuing Lender’s Affiliates of a proper demand for payment made under any Letter of Credit if such dishonor resulted from any act or omission,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80"/>
          </w:cols>
          <w:pgMar w:left="460" w:top="274" w:right="459" w:bottom="1440" w:gutter="0" w:footer="0" w:header="0"/>
        </w:sectPr>
      </w:pPr>
    </w:p>
    <w:bookmarkStart w:id="82" w:name="page83"/>
    <w:bookmarkEnd w:id="82"/>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whether rightful or wrongful, of any present or future de jure or de facto government or Official Body), any of the transactions contemplated herein or the actual or proposed use of the proceeds of the Advances or any Letter of Credit or (ii) the actual or alleged presence of Hazardous Materials on any property of the Borrower or any of its Subsidiaries or any Environmental Action relating in any way to the Borrower or any of its Subsidiaries, except to the extent such claim, damage, loss, liability or expense (x) is found in a final, non-appealable judgment by a court of competent jurisdiction to have resulted from such Indemnified Party’s gross negligence, bad faith or willful misconduct, (y) arose from a material breach of such Indemnified Party’s obligations under any Loan Document (as determined by a court of competent jurisdiction in a final, non-appealable judgment), or (z) results from a claim, litigation, investigation or proceeding brought by one Indemnified Party against another Indemnified Party that does not involve an act or omission by, or a condition relating to, the Borrower or any Affiliate thereof (other than a claim against an Indemnified Party solely in its capacity as Agent, Syndication Agent, Arranger or Bookrunner). In the case of an investigation, litigation or other proceeding to which the indemnity in this Section 8.04(b) applies, such indemnity shall be effective whether or not such investigation, litigation or proceeding is brought by the Borrower, its directors, equityholders or creditors or an Indemnified Party or any other Person, whether or not any Indemnified Party is otherwise a party thereto and whether or not the transactions contemplated hereby are consummated. Each of the Borrower and each Lender agrees not to assert any claim for special, indirect, consequential or punitive damages against the Agent, any Lender, the Borrower, any of their Affiliates, or any of their respective directors, officers, employees, attorneys and agents, on any theory of liability, arising out of or otherwise relating to the Notes, this Agreement, any of the transactions contemplated herein or the actual or proposed use of the proceeds of the Advances; </w:t>
      </w:r>
      <w:r>
        <w:rPr>
          <w:rFonts w:ascii="Arial" w:cs="Arial" w:eastAsia="Arial" w:hAnsi="Arial"/>
          <w:sz w:val="17"/>
          <w:szCs w:val="17"/>
          <w:u w:val="single" w:color="auto"/>
          <w:color w:val="auto"/>
        </w:rPr>
        <w:t>provided</w:t>
      </w:r>
      <w:r>
        <w:rPr>
          <w:rFonts w:ascii="Arial" w:cs="Arial" w:eastAsia="Arial" w:hAnsi="Arial"/>
          <w:sz w:val="17"/>
          <w:szCs w:val="17"/>
          <w:color w:val="auto"/>
        </w:rPr>
        <w:t>, that, nothing contained in this sentence shall relieve the Borrower of any obligation it may have to indemnify an Indemnified Party against special, indirect, consequential or punitive damages asserted against such Indemnified Party by a third party.</w:t>
      </w:r>
    </w:p>
    <w:p>
      <w:pPr>
        <w:spacing w:after="0" w:line="85" w:lineRule="exact"/>
        <w:rPr>
          <w:sz w:val="20"/>
          <w:szCs w:val="20"/>
          <w:color w:val="auto"/>
        </w:rPr>
      </w:pPr>
    </w:p>
    <w:p>
      <w:pPr>
        <w:ind w:firstLine="885"/>
        <w:spacing w:after="0" w:line="253" w:lineRule="auto"/>
        <w:tabs>
          <w:tab w:leader="none" w:pos="1126"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any payment of principal of, or Conversion of, any Eurodollar Rate Advance is made by the Borrower to or for the account of a Lender other than on the last day of the Interest Period for such Advance, as a result of a payment or Conversion pursuant to Sections 2.09(d), (e) or (g), 2.11 or 2.13, acceleration of the maturity of the Notes pursuant to Section 6.01 or for any other reason, or by an Eligible Assignee to a Lender other than on the last day of the Interest Period for such Advance upon an assignment of rights and obligations under this Agreement pursuant to Section 8.07 as a result of a demand by the Borrower pursuant to Section 8.07(a), the Borrower shall, upon demand by such Lender (with a copy of such demand to the Agent), pay to the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spacing w:after="0" w:line="89" w:lineRule="exact"/>
        <w:rPr>
          <w:rFonts w:ascii="Arial" w:cs="Arial" w:eastAsia="Arial" w:hAnsi="Arial"/>
          <w:sz w:val="18"/>
          <w:szCs w:val="18"/>
          <w:color w:val="auto"/>
        </w:rPr>
      </w:pPr>
    </w:p>
    <w:p>
      <w:pPr>
        <w:ind w:right="140" w:firstLine="885"/>
        <w:spacing w:after="0" w:line="264" w:lineRule="auto"/>
        <w:tabs>
          <w:tab w:leader="none" w:pos="1136"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Without prejudice to the survival of any other agreement of the Borrower hereunder, the agreements and obligations of the Borrower contained in Sections 2.12, 2.15 and 8.04 shall survive the payment in full of principal, interest and all other amounts payable hereunder and under the Notes and the Letters of Credit.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0"/>
          </w:cols>
          <w:pgMar w:left="440" w:top="274" w:right="479" w:bottom="1440" w:gutter="0" w:footer="0" w:header="0"/>
        </w:sectPr>
      </w:pPr>
    </w:p>
    <w:bookmarkStart w:id="83" w:name="page84"/>
    <w:bookmarkEnd w:id="83"/>
    <w:p>
      <w:pPr>
        <w:ind w:right="60" w:firstLine="44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8.05 </w:t>
      </w:r>
      <w:r>
        <w:rPr>
          <w:rFonts w:ascii="Arial" w:cs="Arial" w:eastAsia="Arial" w:hAnsi="Arial"/>
          <w:sz w:val="17"/>
          <w:szCs w:val="17"/>
          <w:u w:val="single" w:color="auto"/>
          <w:color w:val="auto"/>
        </w:rPr>
        <w:t>Right of Set off</w:t>
      </w:r>
      <w:r>
        <w:rPr>
          <w:rFonts w:ascii="Arial" w:cs="Arial" w:eastAsia="Arial" w:hAnsi="Arial"/>
          <w:sz w:val="17"/>
          <w:szCs w:val="17"/>
          <w:color w:val="auto"/>
        </w:rPr>
        <w:t xml:space="preserve">. Upon either (a) the occurrence and during the continuance of any Event of Default under Section 6.01(a) or 6.01(e) or (b) (i) the occurrence and during the continuance of any other Event of Default and (ii) the making of the request or the granting of the consent specified by Section 6.01 to authorize the Agent to declare the Notes due and payable pursuant to the provisions of Section 6.01, each Lender and each Issuing Lender and each of their Affiliates is hereby authorized at any time and from time to time, to the fullest extent permitted by law, to set off and apply any and all deposits (general or special, time or demand, provisional or final) at any time held and other indebtedness at any time owing by such Lender, such Issuing Lender or such Affiliate to or for the credit or the account of the Borrower against any and all of the obligations of the Borrower now or hereafter existing under this Agreement and the Note(s) held by such Lender, whether or not such Lender or such Issuing Lender shall have made any demand under this Agreement or such Note and although such obligations may be unmatured. Each Lender agrees promptly to notify the Borrower after any such set 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 off and application. The rights of each Lender and its Affiliates under this Section are in addition to other rights and remedies (including, without limitation, other rights of set off) that such Lender and its Affiliates may have.</w:t>
      </w:r>
    </w:p>
    <w:p>
      <w:pPr>
        <w:spacing w:after="0" w:line="183"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Borrower, the Agent and each Lender and their respective successors and assigns, except that the Borrower shall not have the right to assign its rights hereunder or any interest herein without the prior written consent of each of the Lenders.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Assignments and Participations</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86" w:lineRule="auto"/>
        <w:tabs>
          <w:tab w:leader="none" w:pos="1126"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Each Lender may and, if demanded by the Borrower pursuant to Section 2.22(b) upon at least five Business Days’ notice to such Lender and the Agent, will assign to one or more Persons all or a portion of its rights and obligations under this Agreement (including, without limitation, all or a portion of its Commitment, the Advances owing to it, its interest in any outstanding Letters of Credit and Swing Line Advances and the Note or Notes held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each such assignment shall be of a constant, and not a varying, percentage of all rights and obligations under this Agreement, (ii) except in the case of an assignment to a Person that, immediately prior to such assignment, was a Lender or an assignment of all of a Lender’s rights and obligations under this Agreement, the amount of the Commitment of the assigning Lender being assigned pursuant to each such assignment (determined as of the date of the Assignment and Assumption with respect to such assignment) shall in no event be less than $5,000,000 or an integral multiple of $1,000,000 in excess thereof unless the Borrower and the Agent otherwise agree, (iii) each such assignment shall be to an Eligible Assignee, (iv) each such assignment made as a result of a demand by the Borrower pursuant to this Section 8.07(a) shall be arranged by the Borrower after consultation with the Agent and shall be either an assignment of all of the rights and obligations of the assigning Lender under this Agreement or an assignment of a portion of such rights and obligations made concurrently with another such assignment or other such assignments that together cover all of the rights and obligations of the assigning Lender under this Agreement, (v) no Lender shall be obligated to make any such assignment as a result of a demand by the Borrower pursuant to this Section 8.07(a) unless and until such Lender shall have received one or more payments from either the Borrower or one or more Eligible Assignees in an aggregate amount at least equal to</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60"/>
          </w:cols>
          <w:pgMar w:left="440" w:top="274" w:right="499" w:bottom="1440" w:gutter="0" w:footer="0" w:header="0"/>
        </w:sectPr>
      </w:pPr>
    </w:p>
    <w:bookmarkStart w:id="84" w:name="page85"/>
    <w:bookmarkEnd w:id="8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aggregate outstanding principal amount of the Advances owing to such Lender, together with accrued interest thereon to the date of payment of such principal amount and all other amounts payable to such Lender under this Agreement, (vi) the Swing Line Commitment and all outstanding Swing Line Advances may only be assigned in their entirety to a Lender then having a Commitment, and (vii) the parties to each such assignment shall execute and deliver to the Agent, for its acceptance and recording in the Register, an Assignment and Assumption, together with any Revolving Credit Note or Swing Line Note subject to such assignment and a processing and recordation fee of $3,500 payable by the parties to each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each assignment made as a result of a demand by the Borrower, such recordation fee shall be payable by the Borrower except that no such recordation fee shall be payable in the case of an assignment made at the request of the Borrower to an Eligible Assignee that is an existing Lender. Upon such execution, delivery, acceptance and recording, from and after the effective date specified in each Assignment and Assumption, (x) the assignee thereunder shall be a party hereto and, to the extent that rights and obligations hereunder have been assigned to it pursuant to such Assignment and Assumption, have the rights and obligations of a Lender hereunder and (y) the Lender assignor thereunder shall, to the extent that rights and obligations hereunder have been assigned by it pursuant to such Assignment and Assumption, relinquish its rights (other than its rights under Sections 2.12, 2.15 and 8.04 to the extent any claim thereunder relates to an event arising prior to such assignment) and be released from its obligations under this Agreement (and, in the case of an Assignment and Assumption covering all or the remaining portion of an assigning Lender’s rights and obligations under this Agreement, such Lender shall cease to be a party hereto).</w:t>
      </w:r>
    </w:p>
    <w:p>
      <w:pPr>
        <w:spacing w:after="0" w:line="64" w:lineRule="exact"/>
        <w:rPr>
          <w:sz w:val="20"/>
          <w:szCs w:val="20"/>
          <w:color w:val="auto"/>
        </w:rPr>
      </w:pPr>
    </w:p>
    <w:p>
      <w:pPr>
        <w:jc w:val="both"/>
        <w:ind w:right="120" w:firstLine="885"/>
        <w:spacing w:after="0" w:line="259" w:lineRule="auto"/>
        <w:tabs>
          <w:tab w:leader="none" w:pos="1136" w:val="left"/>
        </w:tabs>
        <w:numPr>
          <w:ilvl w:val="0"/>
          <w:numId w:val="98"/>
        </w:numPr>
        <w:rPr>
          <w:rFonts w:ascii="Arial" w:cs="Arial" w:eastAsia="Arial" w:hAnsi="Arial"/>
          <w:sz w:val="18"/>
          <w:szCs w:val="18"/>
          <w:color w:val="auto"/>
        </w:rPr>
      </w:pPr>
      <w:r>
        <w:rPr>
          <w:rFonts w:ascii="Arial" w:cs="Arial" w:eastAsia="Arial" w:hAnsi="Arial"/>
          <w:sz w:val="18"/>
          <w:szCs w:val="18"/>
          <w:color w:val="auto"/>
        </w:rPr>
        <w:t>Upon its receipt of an Assignment and Assumption executed by an assigning Lender and an assignee representing that it is an Eligible Assignee, together with any Note or Notes subject to such assignment, the Agent shall, if such Assignment and Assumption has been completed and is in substantially the form of Exhibit C hereto, (i) accept such Assignment and Assumption, (ii) record the information contained therein in the Register and (iii) give prompt notice thereof to the Borrower.</w:t>
      </w:r>
    </w:p>
    <w:p>
      <w:pPr>
        <w:spacing w:after="0" w:line="78" w:lineRule="exact"/>
        <w:rPr>
          <w:rFonts w:ascii="Arial" w:cs="Arial" w:eastAsia="Arial" w:hAnsi="Arial"/>
          <w:sz w:val="18"/>
          <w:szCs w:val="18"/>
          <w:color w:val="auto"/>
        </w:rPr>
      </w:pPr>
    </w:p>
    <w:p>
      <w:pPr>
        <w:ind w:right="80" w:firstLine="885"/>
        <w:spacing w:after="0" w:line="273" w:lineRule="auto"/>
        <w:tabs>
          <w:tab w:leader="none" w:pos="1126"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Agent shall maintain at its address referred to in Section 8.02 a copy of each Assumption Agreement and each Assignment and Assumption delivered to and accepted by it and a register for the recordation of the names and addresses of the Lenders and the Commitment of, and principal amount of the Advances owing to, each Lender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and binding for all purposes, absent manifest error, and the Borrower, the Agent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w:t>
      </w:r>
    </w:p>
    <w:p>
      <w:pPr>
        <w:spacing w:after="0" w:line="70" w:lineRule="exact"/>
        <w:rPr>
          <w:rFonts w:ascii="Arial" w:cs="Arial" w:eastAsia="Arial" w:hAnsi="Arial"/>
          <w:sz w:val="17"/>
          <w:szCs w:val="17"/>
          <w:color w:val="auto"/>
        </w:rPr>
      </w:pPr>
    </w:p>
    <w:p>
      <w:pPr>
        <w:ind w:firstLine="885"/>
        <w:spacing w:after="0" w:line="257" w:lineRule="auto"/>
        <w:tabs>
          <w:tab w:leader="none" w:pos="1136"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Each Lender may sell participations to one or more banks or other entities (other than the Borrower or any of its Affiliates) in or to all or a portion of its rights and obligations under this Agreement (including, without limitation, all or a portion of its Commitment, the Advances owing to it and any Note or Notes held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such Lender’s obligations under this Agreement (including, without limitation, its Commitment to the Borrower hereunder and its participation obligations to the Issuing Lenders and the Swing Line Lender hereunder) shall remain unchanged, (ii) such Lender shall remain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40" w:top="274" w:right="479" w:bottom="1440" w:gutter="0" w:footer="0" w:header="0"/>
        </w:sectPr>
      </w:pPr>
    </w:p>
    <w:bookmarkStart w:id="85" w:name="page86"/>
    <w:bookmarkEnd w:id="85"/>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solely responsible to the other parties hereto for the performance of such obligations, (iii) such Lender shall remain the holder of any such Note for all purposes of this Agreement, (iv) the Borrower, the Agent, the Issuing Lenders and the other Lenders shall continue to deal solely and directly with such Lender in connection with such Lender’s rights and obligations under this Agreement and (v) no participant under any such participation shall have any right to approve any amendment or waiver of any provision of this Agreement or any Note, or any consent to any departure by the Borrower therefrom, except to the extent that such amendment, waiver or consent would reduce the principal of, or interest on, the Notes or any fees or other amounts payable hereunder, in each case to the extent subject to such participation, or postpone any date fixed for any payment of principal of, or interest on, the Notes or any fees or other amounts payable hereunder, in each case to the extent subject to such participation. The applicable Lender, acting solely for this purpose as a non-fiduciary agent of the Borrower, shall maintain a register for the recordation of the names and addresses of each participant to which such Lender has sold a participating interest and the amount of each such participant’s interest in such Lender’s rights and/or obligations under this Agreement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The entries in the Participant Register shall be conclusive absent manifest error, and such Lender shall treat each Person whose name is recorded in the Participant Register as the owner of the related rights and/or obligations, subject to the provisions of this Section.</w:t>
      </w:r>
    </w:p>
    <w:p>
      <w:pPr>
        <w:spacing w:after="0" w:line="72" w:lineRule="exact"/>
        <w:rPr>
          <w:sz w:val="20"/>
          <w:szCs w:val="20"/>
          <w:color w:val="auto"/>
        </w:rPr>
      </w:pPr>
    </w:p>
    <w:p>
      <w:pPr>
        <w:ind w:right="120" w:firstLine="885"/>
        <w:spacing w:after="0" w:line="279" w:lineRule="auto"/>
        <w:tabs>
          <w:tab w:leader="none" w:pos="1126"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Any Lender may, in connection with any assignment or participation or proposed assignment or participation pursuant to this Section 8.07, disclose to the assignee or participant or proposed assignee or participant, any information relating to the Borrower furnished to such Lender by or on behalf of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prior to any such disclosure, the assignee or participant or proposed assignee or participant shall agree to preserve the confidentiality of any Borrower Information relating to the Borrower received by it from such Lender.</w:t>
      </w:r>
    </w:p>
    <w:p>
      <w:pPr>
        <w:spacing w:after="0" w:line="63" w:lineRule="exact"/>
        <w:rPr>
          <w:rFonts w:ascii="Arial" w:cs="Arial" w:eastAsia="Arial" w:hAnsi="Arial"/>
          <w:sz w:val="17"/>
          <w:szCs w:val="17"/>
          <w:color w:val="auto"/>
        </w:rPr>
      </w:pPr>
    </w:p>
    <w:p>
      <w:pPr>
        <w:ind w:right="400" w:firstLine="885"/>
        <w:spacing w:after="0" w:line="286" w:lineRule="auto"/>
        <w:tabs>
          <w:tab w:leader="none" w:pos="1106" w:val="left"/>
        </w:tabs>
        <w:numPr>
          <w:ilvl w:val="0"/>
          <w:numId w:val="99"/>
        </w:numPr>
        <w:rPr>
          <w:rFonts w:ascii="Arial" w:cs="Arial" w:eastAsia="Arial" w:hAnsi="Arial"/>
          <w:sz w:val="17"/>
          <w:szCs w:val="17"/>
          <w:color w:val="auto"/>
        </w:rPr>
      </w:pPr>
      <w:r>
        <w:rPr>
          <w:rFonts w:ascii="Arial" w:cs="Arial" w:eastAsia="Arial" w:hAnsi="Arial"/>
          <w:sz w:val="17"/>
          <w:szCs w:val="17"/>
          <w:color w:val="auto"/>
        </w:rPr>
        <w:t>Notwithstanding any other provision set forth in this Agreement, any Lender may at any time create a security interest in all or any portion of its rights under this Agreement (including, without limitation, the Advances owing to it and any Note or Notes held by it) in favor of any Federal Reserve Bank in accordance with Regulation A of the Board of Governors of the Federal Reserve System.</w:t>
      </w:r>
    </w:p>
    <w:p>
      <w:pPr>
        <w:spacing w:after="0" w:line="166"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Confidentiality</w:t>
      </w:r>
      <w:r>
        <w:rPr>
          <w:rFonts w:ascii="Arial" w:cs="Arial" w:eastAsia="Arial" w:hAnsi="Arial"/>
          <w:sz w:val="16"/>
          <w:szCs w:val="16"/>
          <w:color w:val="auto"/>
        </w:rPr>
        <w:t>. Neither the Agent nor any Lender may disclose to any Person any confidential, proprietary or non-public information of the Borrower furnished to the Agent or the Lenders by the Borrower (such information being referred to collectively herein as the “</w:t>
      </w:r>
      <w:r>
        <w:rPr>
          <w:rFonts w:ascii="Arial" w:cs="Arial" w:eastAsia="Arial" w:hAnsi="Arial"/>
          <w:sz w:val="16"/>
          <w:szCs w:val="16"/>
          <w:u w:val="single" w:color="auto"/>
          <w:color w:val="auto"/>
        </w:rPr>
        <w:t>Borrower</w:t>
      </w:r>
      <w:r>
        <w:rPr>
          <w:rFonts w:ascii="Arial" w:cs="Arial" w:eastAsia="Arial" w:hAnsi="Arial"/>
          <w:sz w:val="16"/>
          <w:szCs w:val="16"/>
          <w:color w:val="auto"/>
        </w:rPr>
        <w:t xml:space="preserve"> </w:t>
      </w:r>
      <w:r>
        <w:rPr>
          <w:rFonts w:ascii="Arial" w:cs="Arial" w:eastAsia="Arial" w:hAnsi="Arial"/>
          <w:sz w:val="16"/>
          <w:szCs w:val="16"/>
          <w:u w:val="single" w:color="auto"/>
          <w:color w:val="auto"/>
        </w:rPr>
        <w:t>Information</w:t>
      </w:r>
      <w:r>
        <w:rPr>
          <w:rFonts w:ascii="Arial" w:cs="Arial" w:eastAsia="Arial" w:hAnsi="Arial"/>
          <w:sz w:val="16"/>
          <w:szCs w:val="16"/>
          <w:color w:val="auto"/>
        </w:rPr>
        <w:t>”), except that each of the Agent and each of the Lenders may disclose Borrower Information (i) to its and its affiliates’ employees, officers, directors, agents and advisors (it being understood that the Persons to whom such disclosure is made will be informed of the confidential nature of such Borrower Information and instructed to keep such Borrower Information confidential on substantially the same terms as provided herein), (ii) to the extent requested by any regulatory authority, (iii) to the extent required by applicable laws or regulations or by any subpoena or similar legal process,</w:t>
      </w:r>
    </w:p>
    <w:p>
      <w:pPr>
        <w:spacing w:after="0" w:line="5" w:lineRule="exact"/>
        <w:rPr>
          <w:sz w:val="20"/>
          <w:szCs w:val="20"/>
          <w:color w:val="auto"/>
        </w:rPr>
      </w:pPr>
    </w:p>
    <w:p>
      <w:pPr>
        <w:ind w:right="100" w:firstLine="4"/>
        <w:spacing w:after="0" w:line="281" w:lineRule="auto"/>
        <w:tabs>
          <w:tab w:leader="none" w:pos="30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to any other party to this Agreement, (v) in connection with the exercise of any remedies hereunder or any suit, action or proceeding relating to this Agreement or the enforcement of rights hereunder, (vi) subject to an agreement containing provisions substantially the same as those of this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8.08, to any assignee or participant or prospective assignee or participant, (vii) to the extent such Borrower Information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0"/>
          </w:cols>
          <w:pgMar w:left="440" w:top="274" w:right="439" w:bottom="1440" w:gutter="0" w:footer="0" w:header="0"/>
        </w:sectPr>
      </w:pPr>
    </w:p>
    <w:bookmarkStart w:id="86" w:name="page87"/>
    <w:bookmarkEnd w:id="86"/>
    <w:p>
      <w:pPr>
        <w:ind w:right="20" w:firstLine="4"/>
        <w:spacing w:after="0" w:line="264" w:lineRule="auto"/>
        <w:tabs>
          <w:tab w:leader="none" w:pos="2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or becomes generally available to the public on a non-confidential basis other than as a result of a breach of this Section 8.08 by the Agent or such Lender, or (B) is or becomes available to the Agent or such Lender on a nonconfidential basis from a source other than the Borrower and (viii) with the consent of the Borrower.</w:t>
      </w:r>
    </w:p>
    <w:p>
      <w:pPr>
        <w:spacing w:after="0" w:line="18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EACH LENDER ACKNOWLEDGES THAT BORROWER INFORMATION, FURNISHED TO IT PURSUANT TO THIS AGREEMENT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73"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ALL INFORMATION, INCLUDING REQUESTS FOR WAIVERS AND AMENDMENTS, FURNISHED BY THE BORROWER OR THE AGENT PURSUANT TO, OR IN THE COURSE OF ADMINISTERING, THIS AGREEMENT MAY CONTAIN MATERIAL NON-PUBLIC INFORMATION ABOUT THE BORROWER AND ITS AFFILIATES OR THEIR RESPECTIVE SECURITIES. ACCORDINGLY, EACH LENDER REPRESENTS TO THE BORROWER AND THE AGENT THAT IT HAS IDENTIFIED A CREDIT CONTACT WHO MAY RECEIVE INFORMATION THAT MAY CONTAIN MATERIAL NON-PUBLIC INFORMATION IN ACCORDANCE WITH ITS COMPLIANCE PROCEDURES AND APPLICABLE LAW, INCLUDING FEDERAL AND STATE SECURITIES LAWS, AND SHALL PROVIDE THE NAME(S) OF SUCH PERSON(S) TO THE AGENT WITHIN TWO WEEKS OF THE EFFECTIVE DATE.</w:t>
      </w:r>
    </w:p>
    <w:p>
      <w:pPr>
        <w:spacing w:after="0" w:line="189"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 xml:space="preserve">Section 8.09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Notes shall be governed by, and construed in accordance with, the laws of the State of New York. Each standby Letter of Credit issued under this Agreement shall be subject either to the rules of the Uniform Customs and Practice for Documentary Credits, as most recently published by the International Chamber of Commerce (the “</w:t>
      </w:r>
      <w:r>
        <w:rPr>
          <w:rFonts w:ascii="Arial" w:cs="Arial" w:eastAsia="Arial" w:hAnsi="Arial"/>
          <w:sz w:val="17"/>
          <w:szCs w:val="17"/>
          <w:u w:val="single" w:color="auto"/>
          <w:color w:val="auto"/>
        </w:rPr>
        <w:t>ICC</w:t>
      </w:r>
      <w:r>
        <w:rPr>
          <w:rFonts w:ascii="Arial" w:cs="Arial" w:eastAsia="Arial" w:hAnsi="Arial"/>
          <w:sz w:val="17"/>
          <w:szCs w:val="17"/>
          <w:color w:val="auto"/>
        </w:rPr>
        <w:t>”) at the time of issuance (“</w:t>
      </w:r>
      <w:r>
        <w:rPr>
          <w:rFonts w:ascii="Arial" w:cs="Arial" w:eastAsia="Arial" w:hAnsi="Arial"/>
          <w:sz w:val="17"/>
          <w:szCs w:val="17"/>
          <w:u w:val="single" w:color="auto"/>
          <w:color w:val="auto"/>
        </w:rPr>
        <w:t>UCP</w:t>
      </w:r>
      <w:r>
        <w:rPr>
          <w:rFonts w:ascii="Arial" w:cs="Arial" w:eastAsia="Arial" w:hAnsi="Arial"/>
          <w:sz w:val="17"/>
          <w:szCs w:val="17"/>
          <w:color w:val="auto"/>
        </w:rPr>
        <w:t>”), or the rules of the International Standby Practices (ICC Publication Number 590) (“</w:t>
      </w:r>
      <w:r>
        <w:rPr>
          <w:rFonts w:ascii="Arial" w:cs="Arial" w:eastAsia="Arial" w:hAnsi="Arial"/>
          <w:sz w:val="17"/>
          <w:szCs w:val="17"/>
          <w:u w:val="single" w:color="auto"/>
          <w:color w:val="auto"/>
        </w:rPr>
        <w:t>ISP98</w:t>
      </w:r>
      <w:r>
        <w:rPr>
          <w:rFonts w:ascii="Arial" w:cs="Arial" w:eastAsia="Arial" w:hAnsi="Arial"/>
          <w:sz w:val="17"/>
          <w:szCs w:val="17"/>
          <w:color w:val="auto"/>
        </w:rPr>
        <w:t>”), as determined by the relevant Issuing Lender, and in each case to the extent not inconsistent therewith, the laws of the State of New York without regard to its conflict of laws principles.</w:t>
      </w:r>
    </w:p>
    <w:p>
      <w:pPr>
        <w:spacing w:after="0" w:line="173"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or other electronic imaging shall be effective as delivery of a manually executed counterpart of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4" w:right="439" w:bottom="1440" w:gutter="0" w:footer="0" w:header="0"/>
        </w:sectPr>
      </w:pPr>
    </w:p>
    <w:bookmarkStart w:id="87" w:name="page88"/>
    <w:bookmarkEnd w:id="8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8.11 </w:t>
      </w:r>
      <w:r>
        <w:rPr>
          <w:rFonts w:ascii="Arial" w:cs="Arial" w:eastAsia="Arial" w:hAnsi="Arial"/>
          <w:sz w:val="18"/>
          <w:szCs w:val="18"/>
          <w:u w:val="single" w:color="auto"/>
          <w:color w:val="auto"/>
        </w:rPr>
        <w:t>Jurisdiction, Etc.</w:t>
      </w:r>
    </w:p>
    <w:p>
      <w:pPr>
        <w:spacing w:after="0" w:line="117" w:lineRule="exact"/>
        <w:rPr>
          <w:sz w:val="20"/>
          <w:szCs w:val="20"/>
          <w:color w:val="auto"/>
        </w:rPr>
      </w:pPr>
    </w:p>
    <w:p>
      <w:pPr>
        <w:ind w:right="120" w:firstLine="885"/>
        <w:spacing w:after="0" w:line="288" w:lineRule="auto"/>
        <w:tabs>
          <w:tab w:leader="none" w:pos="112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Each of the parties hereto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the Notes or the other Loan Documents,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in New York City. The Borrower hereby irrevocably consents to the service of process in any action or proceeding in such courts by the mailing thereof by any parties hereto by registered or certified mail, postage prepaid, to the Borrower at its address specified pursuant to Section 8.02.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bring any action or proceeding relating to this Agreement, the Notes or the other Loan Documents in the courts of any jurisdiction.</w:t>
      </w:r>
    </w:p>
    <w:p>
      <w:pPr>
        <w:spacing w:after="0" w:line="61" w:lineRule="exact"/>
        <w:rPr>
          <w:rFonts w:ascii="Arial" w:cs="Arial" w:eastAsia="Arial" w:hAnsi="Arial"/>
          <w:sz w:val="16"/>
          <w:szCs w:val="16"/>
          <w:color w:val="auto"/>
        </w:rPr>
      </w:pPr>
    </w:p>
    <w:p>
      <w:pPr>
        <w:ind w:right="20" w:firstLine="885"/>
        <w:spacing w:after="0" w:line="279" w:lineRule="auto"/>
        <w:tabs>
          <w:tab w:leader="none" w:pos="113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the Notes or the other Loan Documents in any New York State or federal court. Each of the parties hereto hereby irrevocably waives, to the fullest extent permitted by law, the defense of an inconvenient forum to the maintenance of such action or proceeding in any such court.</w:t>
      </w:r>
    </w:p>
    <w:p>
      <w:pPr>
        <w:spacing w:after="0" w:line="171"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 xml:space="preserve">Section 8.12 </w:t>
      </w:r>
      <w:r>
        <w:rPr>
          <w:rFonts w:ascii="Arial" w:cs="Arial" w:eastAsia="Arial" w:hAnsi="Arial"/>
          <w:sz w:val="16"/>
          <w:szCs w:val="16"/>
          <w:u w:val="single" w:color="auto"/>
          <w:color w:val="auto"/>
        </w:rPr>
        <w:t>Patriot Act Notice</w:t>
      </w:r>
      <w:r>
        <w:rPr>
          <w:rFonts w:ascii="Arial" w:cs="Arial" w:eastAsia="Arial" w:hAnsi="Arial"/>
          <w:sz w:val="16"/>
          <w:szCs w:val="16"/>
          <w:color w:val="auto"/>
        </w:rPr>
        <w:t>. Each Lender and the Agent (for itself and not on behalf of any Lender) hereby notifies the Borrower that pursuant to the requirements of the Patriot Act, it is required to obtain, verify and record information that identifies the Borrower, which information includes the name and address of the Borrower and other information that will allow such Lender or the Agent, as applicable, to identify the Borrower in accordance with the Patriot Act. The Borrower shall provide, to the extent commercially reasonable, such information and take such actions as are reasonably requested by the Agent or any Lenders in order to assist the Agent and the Lenders in maintaining compliance with the Patriot Act.</w:t>
      </w:r>
    </w:p>
    <w:p>
      <w:pPr>
        <w:spacing w:after="0" w:line="15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Section 8.13 </w:t>
      </w:r>
      <w:r>
        <w:rPr>
          <w:rFonts w:ascii="Arial" w:cs="Arial" w:eastAsia="Arial" w:hAnsi="Arial"/>
          <w:sz w:val="17"/>
          <w:szCs w:val="17"/>
          <w:u w:val="single" w:color="auto"/>
          <w:color w:val="auto"/>
        </w:rPr>
        <w:t>No Advisory or Fiduciary Responsibility</w:t>
      </w:r>
      <w:r>
        <w:rPr>
          <w:rFonts w:ascii="Arial" w:cs="Arial" w:eastAsia="Arial" w:hAnsi="Arial"/>
          <w:sz w:val="17"/>
          <w:szCs w:val="17"/>
          <w:color w:val="auto"/>
        </w:rPr>
        <w:t>. No Advisory or Fiduciary Responsibility. In connection with all aspects of each transaction contemplated hereby (including in connection with any amendment, waiver or other modification hereof or of any other Loan Document), the Borrower acknowledges and agrees, and acknowledges its Affiliates’ understanding, that: (a) (i) no fiduciary, advisory or agency relationship between the Borrower and its Subsidiaries and any Arranger, any Bookrunner, the Agent, any Issuing Lender, any Swingline Lender or any Lender is intended to be or has been created in respect of the transactions contemplated hereby or by the other Loan Documents, irrespective of whether the Arranger, the Agent, any Issuing Lender, any Swingline Lender or any Lender has advised or is advising the Borrower or any Subsidiary on other matters, (ii) the arranging and other services regarding this Agreement provided by the Arranger, the Agent, the Issuing Lenders, the Swingline Lenders and the Lenders are arm’s-length commercial transactions between the Borrower and its Affiliates, on the one hand, and the Arranger, the Agent, the Issuing Lenders, the Swingline Lenders and the Lenders, on the other hand, (iii) the Borrower has consulted its own legal, accounting, regulatory and tax advisors to the extent that it has deemed appropriate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88" w:name="page89"/>
    <w:bookmarkEnd w:id="8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(iv) the Borrower is capable of evaluating, and understands and accepts, the terms, risks and conditions of the transactions contemplated hereby and by the other Loan Documents; and (b) (i) the Arranger, the Agent, the Issuing Lenders, the Swingline Lenders and the Lenders each is and has been acting solely as a principal and, except as expressly agreed in writing by the relevant parties, has not been, is not, and will not be acting as an advisor, agent or fiduciary for the Borrower or any of its Affiliates, or any other Person; (ii) none of the Arranger, the Agent, the Issuing Lenders, the Swingline Lenders and the Lenders has any obligation to the Borrower or any of its Affiliates with respect to the transactions contemplated hereby except those obligations expressly set forth herein and in the other Loan Documents; and (iii) the Arranger, the Agent, the Issuing Lenders, the Swingline Lenders and the Lenders and their respective Affiliates may be engaged, for their own accounts or the accounts of customers, in a broad range of transactions that involve interests that differ from those of the Borrower and its Affiliates, and none of the Arranger, the Agent, the Issuing Lenders, the Swingline Lenders and the Lenders has any obligation to disclose any of such interests to the Borrower or its Affiliates. To the fullest extent permitted by Law, the Borrower hereby waives and releases any claims that it may have against any of the Arranger, the Agent, the Issuing Lenders, the Swingline Lenders and the Lenders with respect to any breach or alleged breach of agency or fiduciary duty in connection with any aspect of any transaction contemplated hereby.</w:t>
      </w:r>
    </w:p>
    <w:p>
      <w:pPr>
        <w:spacing w:after="0" w:line="176" w:lineRule="exact"/>
        <w:rPr>
          <w:sz w:val="20"/>
          <w:szCs w:val="20"/>
          <w:color w:val="auto"/>
        </w:rPr>
      </w:pPr>
    </w:p>
    <w:p>
      <w:pPr>
        <w:ind w:right="200" w:firstLine="441"/>
        <w:spacing w:after="0" w:line="258"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OF THE BORROWER, THE AGENT AND THE LENDERS HEREBY</w:t>
      </w:r>
      <w:r>
        <w:rPr>
          <w:rFonts w:ascii="Arial" w:cs="Arial" w:eastAsia="Arial" w:hAnsi="Arial"/>
          <w:sz w:val="18"/>
          <w:szCs w:val="18"/>
          <w:color w:val="auto"/>
        </w:rPr>
        <w:t xml:space="preserve"> </w:t>
      </w:r>
      <w:r>
        <w:rPr>
          <w:rFonts w:ascii="Arial" w:cs="Arial" w:eastAsia="Arial" w:hAnsi="Arial"/>
          <w:sz w:val="18"/>
          <w:szCs w:val="18"/>
          <w:b w:val="1"/>
          <w:bCs w:val="1"/>
          <w:color w:val="auto"/>
        </w:rPr>
        <w:t>IRREVOCABLY WAIVES ALL RIGHT TO TRIAL BY JURY IN ANY ACTION, PROCEEDING OR COUNTERCLAIM (WHETHER BASED ON CONTRACT, TORT OR OTHERWISE) ARISING OUT OF OR RELATING TO THIS AGREEMENT, THE NOTES OR THE OTHER LOAN DOCUMENTS OR THE ACTIONS OF THE AGENT OR ANY LENDER IN THE NEGOTIATION, ADMINISTRATION, PERFORMANCE OR ENFORCEMENT HEREOF OR THEREOF.</w:t>
      </w:r>
    </w:p>
    <w:p>
      <w:pPr>
        <w:spacing w:after="0" w:line="188"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 xml:space="preserve">Section 8.15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23" w:lineRule="exact"/>
        <w:rPr>
          <w:sz w:val="20"/>
          <w:szCs w:val="20"/>
          <w:color w:val="auto"/>
        </w:rPr>
      </w:pPr>
    </w:p>
    <w:p>
      <w:pPr>
        <w:ind w:right="20" w:firstLine="885"/>
        <w:spacing w:after="0" w:line="277" w:lineRule="auto"/>
        <w:tabs>
          <w:tab w:leader="none" w:pos="112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that may be payable to it by any party hereto that is an EEA Financial Institution; and</w:t>
      </w:r>
    </w:p>
    <w:p>
      <w:pPr>
        <w:spacing w:after="0" w:line="35" w:lineRule="exact"/>
        <w:rPr>
          <w:rFonts w:ascii="Arial" w:cs="Arial" w:eastAsia="Arial" w:hAnsi="Arial"/>
          <w:sz w:val="18"/>
          <w:szCs w:val="18"/>
          <w:color w:val="auto"/>
        </w:rPr>
      </w:pPr>
    </w:p>
    <w:p>
      <w:pPr>
        <w:ind w:left="1140" w:hanging="255"/>
        <w:spacing w:after="0"/>
        <w:tabs>
          <w:tab w:leader="none" w:pos="11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76" w:lineRule="exact"/>
        <w:rPr>
          <w:rFonts w:ascii="Arial" w:cs="Arial" w:eastAsia="Arial" w:hAnsi="Arial"/>
          <w:sz w:val="18"/>
          <w:szCs w:val="18"/>
          <w:color w:val="auto"/>
        </w:rPr>
      </w:pPr>
    </w:p>
    <w:p>
      <w:pPr>
        <w:ind w:left="1500" w:hanging="209"/>
        <w:spacing w:after="0"/>
        <w:tabs>
          <w:tab w:leader="none" w:pos="15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76" w:lineRule="exact"/>
        <w:rPr>
          <w:rFonts w:ascii="Arial" w:cs="Arial" w:eastAsia="Arial" w:hAnsi="Arial"/>
          <w:sz w:val="18"/>
          <w:szCs w:val="18"/>
          <w:color w:val="auto"/>
        </w:rPr>
      </w:pPr>
    </w:p>
    <w:p>
      <w:pPr>
        <w:ind w:left="440" w:right="180" w:firstLine="851"/>
        <w:spacing w:after="0" w:line="312" w:lineRule="auto"/>
        <w:tabs>
          <w:tab w:leader="none" w:pos="1551"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20"/>
          </w:cols>
          <w:pgMar w:left="440" w:top="274" w:right="439" w:bottom="1440" w:gutter="0" w:footer="0" w:header="0"/>
        </w:sectPr>
      </w:pPr>
    </w:p>
    <w:bookmarkStart w:id="89" w:name="page90"/>
    <w:bookmarkEnd w:id="89"/>
    <w:p>
      <w:pPr>
        <w:ind w:left="440" w:right="200" w:firstLine="851"/>
        <w:spacing w:after="0" w:line="277" w:lineRule="auto"/>
        <w:tabs>
          <w:tab w:leader="none" w:pos="1601"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variation of the terms of such liability in connection with the exercise of the write-down and conversion powers of any EEA Resolution Authority.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8.16 </w:t>
      </w:r>
      <w:r>
        <w:rPr>
          <w:rFonts w:ascii="Arial" w:cs="Arial" w:eastAsia="Arial" w:hAnsi="Arial"/>
          <w:sz w:val="16"/>
          <w:szCs w:val="16"/>
          <w:u w:val="single" w:color="auto"/>
          <w:color w:val="auto"/>
        </w:rPr>
        <w:t>Acknowledgement Regarding Any Supported QFCs</w:t>
      </w:r>
      <w:r>
        <w:rPr>
          <w:rFonts w:ascii="Arial" w:cs="Arial" w:eastAsia="Arial" w:hAnsi="Arial"/>
          <w:sz w:val="16"/>
          <w:szCs w:val="16"/>
          <w:color w:val="auto"/>
        </w:rPr>
        <w:t>. To the extent that the Loan Documents provide support, through a guarantee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otherwise, for Hedge Agreements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Federal Deposit Insurance Act and Title II of the Dodd-Frank Wall Street Reform and Consumer Protection Act (together with the regulations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promulgated thereunder, the “</w:t>
      </w:r>
      <w:r>
        <w:rPr>
          <w:rFonts w:ascii="Arial" w:cs="Arial" w:eastAsia="Arial" w:hAnsi="Arial"/>
          <w:sz w:val="16"/>
          <w:szCs w:val="16"/>
          <w:u w:val="single" w:color="auto"/>
          <w:color w:val="auto"/>
        </w:rPr>
        <w:t>U.S. Special Resolution Regimes</w:t>
      </w:r>
      <w:r>
        <w:rPr>
          <w:rFonts w:ascii="Arial" w:cs="Arial" w:eastAsia="Arial" w:hAnsi="Arial"/>
          <w:sz w:val="16"/>
          <w:szCs w:val="16"/>
          <w:color w:val="auto"/>
        </w:rPr>
        <w:t>”) in respect of such Supported QFC and QFC Credit Support (with the provisions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notwithstanding that the Loan Documents and any Supported QFC may in fact be stated to be governed by the laws of the State of New York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and/or of the United States or any other state of the United States):</w:t>
      </w:r>
    </w:p>
    <w:p>
      <w:pPr>
        <w:spacing w:after="0" w:line="103" w:lineRule="exact"/>
        <w:rPr>
          <w:sz w:val="20"/>
          <w:szCs w:val="20"/>
          <w:color w:val="auto"/>
        </w:rPr>
      </w:pPr>
    </w:p>
    <w:p>
      <w:pPr>
        <w:ind w:firstLine="885"/>
        <w:spacing w:after="0" w:line="287" w:lineRule="auto"/>
        <w:tabs>
          <w:tab w:leader="none" w:pos="112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64" w:lineRule="exact"/>
        <w:rPr>
          <w:rFonts w:ascii="Arial" w:cs="Arial" w:eastAsia="Arial" w:hAnsi="Arial"/>
          <w:sz w:val="16"/>
          <w:szCs w:val="16"/>
          <w:color w:val="auto"/>
        </w:rPr>
      </w:pPr>
    </w:p>
    <w:p>
      <w:pPr>
        <w:ind w:left="1140" w:hanging="255"/>
        <w:spacing w:after="0"/>
        <w:tabs>
          <w:tab w:leader="none" w:pos="11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 used in this Section 8.16, the following terms have the following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17" w:lineRule="exact"/>
        <w:rPr>
          <w:sz w:val="20"/>
          <w:szCs w:val="20"/>
          <w:color w:val="auto"/>
        </w:rPr>
      </w:pPr>
    </w:p>
    <w:p>
      <w:pPr>
        <w:ind w:left="5420" w:right="2080" w:hanging="4129"/>
        <w:spacing w:after="0" w:line="449" w:lineRule="auto"/>
        <w:tabs>
          <w:tab w:leader="none" w:pos="150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 81</w:t>
      </w:r>
    </w:p>
    <w:p>
      <w:pPr>
        <w:sectPr>
          <w:pgSz w:w="11900" w:h="16838" w:orient="portrait"/>
          <w:cols w:equalWidth="0" w:num="1">
            <w:col w:w="11000"/>
          </w:cols>
          <w:pgMar w:left="440" w:top="274" w:right="459" w:bottom="1440" w:gutter="0" w:footer="0" w:header="0"/>
        </w:sectPr>
      </w:pPr>
    </w:p>
    <w:bookmarkStart w:id="90" w:name="page91"/>
    <w:bookmarkEnd w:id="90"/>
    <w:p>
      <w:pPr>
        <w:ind w:left="1560" w:hanging="269"/>
        <w:spacing w:after="0"/>
        <w:tabs>
          <w:tab w:leader="none" w:pos="15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600" w:hanging="309"/>
        <w:spacing w:after="0"/>
        <w:tabs>
          <w:tab w:leader="none" w:pos="1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 Pages Follow]</w:t>
      </w:r>
    </w:p>
    <w:p>
      <w:pPr>
        <w:spacing w:after="0" w:line="16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780"/>
          </w:cols>
          <w:pgMar w:left="440" w:top="274" w:right="679" w:bottom="1440" w:gutter="0" w:footer="0" w:header="0"/>
        </w:sectPr>
      </w:pPr>
    </w:p>
    <w:bookmarkStart w:id="91" w:name="page92"/>
    <w:bookmarkEnd w:id="91"/>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UGI UTILITIES,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Daniel J. Platt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14605</wp:posOffset>
            </wp:positionV>
            <wp:extent cx="26244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Name: Daniel J. Platt</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Title: Chief Financial Officer and Treasurer</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to Credit Agreement]</w:t>
      </w:r>
    </w:p>
    <w:p>
      <w:pPr>
        <w:sectPr>
          <w:pgSz w:w="11900" w:h="16838" w:orient="portrait"/>
          <w:cols w:equalWidth="0" w:num="1">
            <w:col w:w="10940"/>
          </w:cols>
          <w:pgMar w:left="440" w:top="274" w:right="519" w:bottom="1440" w:gutter="0" w:footer="0" w:header="0"/>
        </w:sectPr>
      </w:pPr>
    </w:p>
    <w:bookmarkStart w:id="92" w:name="page93"/>
    <w:bookmarkEnd w:id="9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PNC BANK, NATIONAL ASSOCIATION,</w:t>
      </w:r>
    </w:p>
    <w:p>
      <w:pPr>
        <w:spacing w:after="0" w:line="3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as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Alex Rolfe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14605</wp:posOffset>
            </wp:positionV>
            <wp:extent cx="26244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Alex Rolfe</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Credit Agreement]</w:t>
      </w:r>
    </w:p>
    <w:p>
      <w:pPr>
        <w:sectPr>
          <w:pgSz w:w="11900" w:h="16838" w:orient="portrait"/>
          <w:cols w:equalWidth="0" w:num="1">
            <w:col w:w="9019"/>
          </w:cols>
          <w:pgMar w:left="1440" w:top="274" w:right="1440" w:bottom="1440" w:gutter="0" w:footer="0" w:header="0"/>
        </w:sectPr>
      </w:pPr>
    </w:p>
    <w:bookmarkStart w:id="93" w:name="page94"/>
    <w:bookmarkEnd w:id="9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Initial Lenders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PNC BANK, NATIONAL ASSOCIATION</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Alex Rolfe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Alex Rolfe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Credit Agreement]</w:t>
      </w:r>
    </w:p>
    <w:p>
      <w:pPr>
        <w:sectPr>
          <w:pgSz w:w="11900" w:h="16838" w:orient="portrait"/>
          <w:cols w:equalWidth="0" w:num="1">
            <w:col w:w="9019"/>
          </w:cols>
          <w:pgMar w:left="1440" w:top="274" w:right="1440" w:bottom="1440" w:gutter="0" w:footer="0" w:header="0"/>
        </w:sectPr>
      </w:pPr>
    </w:p>
    <w:bookmarkStart w:id="94" w:name="page95"/>
    <w:bookmarkEnd w:id="94"/>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CITIZENS BANK, N.A.</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Leslie D. Broderick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 Leslie D. Broderick</w:t>
      </w:r>
    </w:p>
    <w:p>
      <w:pPr>
        <w:spacing w:after="0" w:line="35" w:lineRule="exact"/>
        <w:rPr>
          <w:sz w:val="20"/>
          <w:szCs w:val="20"/>
          <w:color w:val="auto"/>
        </w:rPr>
      </w:pPr>
    </w:p>
    <w:p>
      <w:pPr>
        <w:jc w:val="right"/>
        <w:ind w:right="1039"/>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Credit Agreement]</w:t>
      </w:r>
    </w:p>
    <w:p>
      <w:pPr>
        <w:sectPr>
          <w:pgSz w:w="11900" w:h="16838" w:orient="portrait"/>
          <w:cols w:equalWidth="0" w:num="1">
            <w:col w:w="9019"/>
          </w:cols>
          <w:pgMar w:left="1440" w:top="270" w:right="1440" w:bottom="1440" w:gutter="0" w:footer="0" w:header="0"/>
        </w:sectPr>
      </w:pPr>
    </w:p>
    <w:bookmarkStart w:id="95" w:name="page96"/>
    <w:bookmarkEnd w:id="9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Dee Dee Farkas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 Dee Dee Farkas</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Credit Agreement]</w:t>
      </w:r>
    </w:p>
    <w:p>
      <w:pPr>
        <w:sectPr>
          <w:pgSz w:w="11900" w:h="16838" w:orient="portrait"/>
          <w:cols w:equalWidth="0" w:num="1">
            <w:col w:w="9019"/>
          </w:cols>
          <w:pgMar w:left="1440" w:top="270" w:right="1440" w:bottom="1440" w:gutter="0" w:footer="0" w:header="0"/>
        </w:sectPr>
      </w:pPr>
    </w:p>
    <w:bookmarkStart w:id="96" w:name="page97"/>
    <w:bookmarkEnd w:id="96"/>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SUISSE AG, Cayman Islands Branch</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D. Toronto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14605</wp:posOffset>
            </wp:positionV>
            <wp:extent cx="24523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D. Toronto</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 Andrew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14605</wp:posOffset>
            </wp:positionV>
            <wp:extent cx="24523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 Andrew Maletta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6"/>
          <w:szCs w:val="16"/>
          <w:i w:val="1"/>
          <w:iCs w:val="1"/>
          <w:color w:val="auto"/>
        </w:rPr>
        <w:t>[Signature Page to Credit Agreement]</w:t>
      </w:r>
    </w:p>
    <w:p>
      <w:pPr>
        <w:sectPr>
          <w:pgSz w:w="11900" w:h="16838" w:orient="portrait"/>
          <w:cols w:equalWidth="0" w:num="1">
            <w:col w:w="9260"/>
          </w:cols>
          <w:pgMar w:left="1440" w:top="270" w:right="1199" w:bottom="1440" w:gutter="0" w:footer="0" w:header="0"/>
        </w:sectPr>
      </w:pPr>
    </w:p>
    <w:bookmarkStart w:id="97" w:name="page98"/>
    <w:bookmarkEnd w:id="97"/>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Helen 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Helen D. Davis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Credit Agreement]</w:t>
      </w:r>
    </w:p>
    <w:p>
      <w:pPr>
        <w:sectPr>
          <w:pgSz w:w="11900" w:h="16838" w:orient="portrait"/>
          <w:cols w:equalWidth="0" w:num="1">
            <w:col w:w="9019"/>
          </w:cols>
          <w:pgMar w:left="1440" w:top="270" w:right="1440" w:bottom="1440" w:gutter="0" w:footer="0" w:header="0"/>
        </w:sectPr>
      </w:pPr>
    </w:p>
    <w:bookmarkStart w:id="98" w:name="page99"/>
    <w:bookmarkEnd w:id="98"/>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NATIONAL ASSOCIATION</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Patrick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Patrick Engel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i w:val="1"/>
          <w:iCs w:val="1"/>
          <w:color w:val="auto"/>
        </w:rPr>
        <w:t>[Signature Page to Credit Agreement]</w:t>
      </w:r>
    </w:p>
    <w:p>
      <w:pPr>
        <w:sectPr>
          <w:pgSz w:w="11900" w:h="16838" w:orient="portrait"/>
          <w:cols w:equalWidth="0" w:num="1">
            <w:col w:w="9840"/>
          </w:cols>
          <w:pgMar w:left="1440" w:top="270" w:right="619" w:bottom="1440" w:gutter="0" w:footer="0" w:header="0"/>
        </w:sectPr>
      </w:pPr>
    </w:p>
    <w:bookmarkStart w:id="99" w:name="page100"/>
    <w:bookmarkEnd w:id="9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Richard K. Fronapfel,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K. Fronapfel,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Credit Agreement]</w:t>
      </w:r>
    </w:p>
    <w:p>
      <w:pPr>
        <w:sectPr>
          <w:pgSz w:w="11900" w:h="16838" w:orient="portrait"/>
          <w:cols w:equalWidth="0" w:num="1">
            <w:col w:w="9019"/>
          </w:cols>
          <w:pgMar w:left="1440" w:top="270"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SCHEDULE I</w:t>
            </w: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UGI UTILITIES, INC.</w:t>
            </w: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CREDIT AGREEMENT</w:t>
            </w:r>
          </w:p>
        </w:tc>
      </w:tr>
      <w:tr>
        <w:trPr>
          <w:trHeight w:val="230"/>
        </w:trPr>
        <w:tc>
          <w:tcPr>
            <w:tcW w:w="1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APPLICABLE LENDING OFFICES</w:t>
            </w:r>
          </w:p>
        </w:tc>
      </w:tr>
      <w:tr>
        <w:trPr>
          <w:trHeight w:val="412"/>
        </w:trPr>
        <w:tc>
          <w:tcPr>
            <w:tcW w:w="3060" w:type="dxa"/>
            <w:vAlign w:val="bottom"/>
            <w:gridSpan w:val="2"/>
          </w:tcPr>
          <w:p>
            <w:pPr>
              <w:spacing w:after="0"/>
              <w:rPr>
                <w:sz w:val="20"/>
                <w:szCs w:val="20"/>
                <w:color w:val="auto"/>
              </w:rPr>
            </w:pPr>
            <w:r>
              <w:rPr>
                <w:rFonts w:ascii="Arial" w:cs="Arial" w:eastAsia="Arial" w:hAnsi="Arial"/>
                <w:sz w:val="14"/>
                <w:szCs w:val="14"/>
                <w:color w:val="auto"/>
              </w:rPr>
              <w:t>Name of Initial Lender</w:t>
            </w:r>
          </w:p>
        </w:tc>
        <w:tc>
          <w:tcPr>
            <w:tcW w:w="160" w:type="dxa"/>
            <w:vAlign w:val="bottom"/>
          </w:tcPr>
          <w:p>
            <w:pPr>
              <w:spacing w:after="0"/>
              <w:rPr>
                <w:sz w:val="24"/>
                <w:szCs w:val="24"/>
                <w:color w:val="auto"/>
              </w:rPr>
            </w:pPr>
          </w:p>
        </w:tc>
        <w:tc>
          <w:tcPr>
            <w:tcW w:w="4060" w:type="dxa"/>
            <w:vAlign w:val="bottom"/>
            <w:gridSpan w:val="2"/>
          </w:tcPr>
          <w:p>
            <w:pPr>
              <w:ind w:left="1180"/>
              <w:spacing w:after="0"/>
              <w:rPr>
                <w:sz w:val="20"/>
                <w:szCs w:val="20"/>
                <w:color w:val="auto"/>
              </w:rPr>
            </w:pPr>
            <w:r>
              <w:rPr>
                <w:rFonts w:ascii="Arial" w:cs="Arial" w:eastAsia="Arial" w:hAnsi="Arial"/>
                <w:sz w:val="14"/>
                <w:szCs w:val="14"/>
                <w:color w:val="auto"/>
              </w:rPr>
              <w:t>Domestic Lending Office</w:t>
            </w:r>
          </w:p>
        </w:tc>
        <w:tc>
          <w:tcPr>
            <w:tcW w:w="3760" w:type="dxa"/>
            <w:vAlign w:val="bottom"/>
          </w:tcPr>
          <w:p>
            <w:pPr>
              <w:jc w:val="right"/>
              <w:ind w:right="1034"/>
              <w:spacing w:after="0"/>
              <w:rPr>
                <w:sz w:val="20"/>
                <w:szCs w:val="20"/>
                <w:color w:val="auto"/>
              </w:rPr>
            </w:pPr>
            <w:r>
              <w:rPr>
                <w:rFonts w:ascii="Arial" w:cs="Arial" w:eastAsia="Arial" w:hAnsi="Arial"/>
                <w:sz w:val="14"/>
                <w:szCs w:val="14"/>
                <w:color w:val="auto"/>
              </w:rPr>
              <w:t>Eurodollar Lending Office</w:t>
            </w:r>
          </w:p>
        </w:tc>
      </w:tr>
      <w:tr>
        <w:trPr>
          <w:trHeight w:val="189"/>
        </w:trPr>
        <w:tc>
          <w:tcPr>
            <w:tcW w:w="1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2"/>
              </w:rPr>
              <w:t>PNC Bank, National</w:t>
            </w:r>
          </w:p>
        </w:tc>
        <w:tc>
          <w:tcPr>
            <w:tcW w:w="1720" w:type="dxa"/>
            <w:vAlign w:val="bottom"/>
          </w:tcPr>
          <w:p>
            <w:pPr>
              <w:ind w:left="200"/>
              <w:spacing w:after="0" w:line="189" w:lineRule="exact"/>
              <w:rPr>
                <w:sz w:val="20"/>
                <w:szCs w:val="20"/>
                <w:color w:val="auto"/>
              </w:rPr>
            </w:pPr>
            <w:r>
              <w:rPr>
                <w:rFonts w:ascii="Arial" w:cs="Arial" w:eastAsia="Arial" w:hAnsi="Arial"/>
                <w:sz w:val="18"/>
                <w:szCs w:val="18"/>
                <w:color w:val="auto"/>
              </w:rPr>
              <w:t>Association</w:t>
            </w:r>
          </w:p>
        </w:tc>
        <w:tc>
          <w:tcPr>
            <w:tcW w:w="160" w:type="dxa"/>
            <w:vAlign w:val="bottom"/>
          </w:tcPr>
          <w:p>
            <w:pPr>
              <w:spacing w:after="0"/>
              <w:rPr>
                <w:sz w:val="16"/>
                <w:szCs w:val="16"/>
                <w:color w:val="auto"/>
              </w:rPr>
            </w:pPr>
          </w:p>
        </w:tc>
        <w:tc>
          <w:tcPr>
            <w:tcW w:w="38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PNC Firstside Center</w:t>
            </w:r>
          </w:p>
        </w:tc>
        <w:tc>
          <w:tcPr>
            <w:tcW w:w="200" w:type="dxa"/>
            <w:vAlign w:val="bottom"/>
          </w:tcPr>
          <w:p>
            <w:pPr>
              <w:spacing w:after="0"/>
              <w:rPr>
                <w:sz w:val="16"/>
                <w:szCs w:val="16"/>
                <w:color w:val="auto"/>
              </w:rPr>
            </w:pPr>
          </w:p>
        </w:tc>
        <w:tc>
          <w:tcPr>
            <w:tcW w:w="3760" w:type="dxa"/>
            <w:vAlign w:val="bottom"/>
            <w:tcBorders>
              <w:top w:val="single" w:sz="8" w:color="auto"/>
            </w:tcBorders>
          </w:tcPr>
          <w:p>
            <w:pPr>
              <w:spacing w:after="0"/>
              <w:rPr>
                <w:sz w:val="16"/>
                <w:szCs w:val="16"/>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500 First Avenue, 4</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37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Pittsburgh, PA 15219</w:t>
            </w:r>
          </w:p>
        </w:tc>
        <w:tc>
          <w:tcPr>
            <w:tcW w:w="37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Attn: Agency Services</w:t>
            </w:r>
          </w:p>
        </w:tc>
        <w:tc>
          <w:tcPr>
            <w:tcW w:w="37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Tel: (412) 762-6442</w:t>
            </w:r>
          </w:p>
        </w:tc>
        <w:tc>
          <w:tcPr>
            <w:tcW w:w="376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Fax: (412) 762-8672</w:t>
            </w:r>
          </w:p>
        </w:tc>
        <w:tc>
          <w:tcPr>
            <w:tcW w:w="3760" w:type="dxa"/>
            <w:vAlign w:val="bottom"/>
          </w:tcPr>
          <w:p>
            <w:pPr>
              <w:spacing w:after="0"/>
              <w:rPr>
                <w:sz w:val="20"/>
                <w:szCs w:val="20"/>
                <w:color w:val="auto"/>
              </w:rPr>
            </w:pPr>
          </w:p>
        </w:tc>
      </w:tr>
      <w:tr>
        <w:trPr>
          <w:trHeight w:val="323"/>
        </w:trPr>
        <w:tc>
          <w:tcPr>
            <w:tcW w:w="3060" w:type="dxa"/>
            <w:vAlign w:val="bottom"/>
            <w:gridSpan w:val="2"/>
          </w:tcPr>
          <w:p>
            <w:pPr>
              <w:spacing w:after="0"/>
              <w:rPr>
                <w:sz w:val="20"/>
                <w:szCs w:val="20"/>
                <w:color w:val="auto"/>
              </w:rPr>
            </w:pPr>
            <w:r>
              <w:rPr>
                <w:rFonts w:ascii="Arial" w:cs="Arial" w:eastAsia="Arial" w:hAnsi="Arial"/>
                <w:sz w:val="18"/>
                <w:szCs w:val="18"/>
                <w:color w:val="auto"/>
              </w:rPr>
              <w:t>Citizens Bank, N.A.</w:t>
            </w: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602 Office Center Drive</w:t>
            </w:r>
          </w:p>
        </w:tc>
        <w:tc>
          <w:tcPr>
            <w:tcW w:w="376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Suite 100</w:t>
            </w:r>
          </w:p>
        </w:tc>
        <w:tc>
          <w:tcPr>
            <w:tcW w:w="37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Fort Washington, PA 19034</w:t>
            </w:r>
          </w:p>
        </w:tc>
        <w:tc>
          <w:tcPr>
            <w:tcW w:w="37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Attn: Leslie Broderick</w:t>
            </w:r>
          </w:p>
        </w:tc>
        <w:tc>
          <w:tcPr>
            <w:tcW w:w="37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Tel: 215.254.3658</w:t>
            </w:r>
          </w:p>
        </w:tc>
        <w:tc>
          <w:tcPr>
            <w:tcW w:w="376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Fax: 855-457-1554</w:t>
            </w:r>
          </w:p>
        </w:tc>
        <w:tc>
          <w:tcPr>
            <w:tcW w:w="3760" w:type="dxa"/>
            <w:vAlign w:val="bottom"/>
          </w:tcPr>
          <w:p>
            <w:pPr>
              <w:spacing w:after="0"/>
              <w:rPr>
                <w:sz w:val="20"/>
                <w:szCs w:val="20"/>
                <w:color w:val="auto"/>
              </w:rPr>
            </w:pPr>
          </w:p>
        </w:tc>
      </w:tr>
      <w:tr>
        <w:trPr>
          <w:trHeight w:val="323"/>
        </w:trPr>
        <w:tc>
          <w:tcPr>
            <w:tcW w:w="306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NC1-007-17-18</w:t>
            </w:r>
          </w:p>
        </w:tc>
        <w:tc>
          <w:tcPr>
            <w:tcW w:w="376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100 N. Tryon Street</w:t>
            </w:r>
          </w:p>
        </w:tc>
        <w:tc>
          <w:tcPr>
            <w:tcW w:w="37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Charlotte, NC 28255-0001</w:t>
            </w:r>
          </w:p>
        </w:tc>
        <w:tc>
          <w:tcPr>
            <w:tcW w:w="37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Attn: William A. Merritt, III</w:t>
            </w:r>
          </w:p>
        </w:tc>
        <w:tc>
          <w:tcPr>
            <w:tcW w:w="37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Tel: (980) 386-9762</w:t>
            </w:r>
          </w:p>
        </w:tc>
        <w:tc>
          <w:tcPr>
            <w:tcW w:w="376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Fax: (980) 233-7956</w:t>
            </w:r>
          </w:p>
        </w:tc>
        <w:tc>
          <w:tcPr>
            <w:tcW w:w="3760" w:type="dxa"/>
            <w:vAlign w:val="bottom"/>
          </w:tcPr>
          <w:p>
            <w:pPr>
              <w:spacing w:after="0"/>
              <w:rPr>
                <w:sz w:val="20"/>
                <w:szCs w:val="20"/>
                <w:color w:val="auto"/>
              </w:rPr>
            </w:pPr>
          </w:p>
        </w:tc>
      </w:tr>
      <w:tr>
        <w:trPr>
          <w:trHeight w:val="323"/>
        </w:trPr>
        <w:tc>
          <w:tcPr>
            <w:tcW w:w="3060" w:type="dxa"/>
            <w:vAlign w:val="bottom"/>
            <w:gridSpan w:val="2"/>
          </w:tcPr>
          <w:p>
            <w:pPr>
              <w:spacing w:after="0"/>
              <w:rPr>
                <w:sz w:val="20"/>
                <w:szCs w:val="20"/>
                <w:color w:val="auto"/>
              </w:rPr>
            </w:pPr>
            <w:r>
              <w:rPr>
                <w:rFonts w:ascii="Arial" w:cs="Arial" w:eastAsia="Arial" w:hAnsi="Arial"/>
                <w:sz w:val="18"/>
                <w:szCs w:val="18"/>
                <w:color w:val="auto"/>
              </w:rPr>
              <w:t>Credit Suisse AG, Cayman Islands</w:t>
            </w: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Eleven Madison Avenue</w:t>
            </w:r>
          </w:p>
        </w:tc>
        <w:tc>
          <w:tcPr>
            <w:tcW w:w="3760" w:type="dxa"/>
            <w:vAlign w:val="bottom"/>
          </w:tcPr>
          <w:p>
            <w:pPr>
              <w:spacing w:after="0"/>
              <w:rPr>
                <w:sz w:val="24"/>
                <w:szCs w:val="24"/>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Branch</w:t>
            </w: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New York, NY 10010</w:t>
            </w:r>
          </w:p>
        </w:tc>
        <w:tc>
          <w:tcPr>
            <w:tcW w:w="37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Attn: William O’Daly</w:t>
            </w:r>
          </w:p>
        </w:tc>
        <w:tc>
          <w:tcPr>
            <w:tcW w:w="37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Tel: (212)-325-1986</w:t>
            </w:r>
          </w:p>
        </w:tc>
        <w:tc>
          <w:tcPr>
            <w:tcW w:w="376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Fax: (212)-743-2254</w:t>
            </w:r>
          </w:p>
        </w:tc>
        <w:tc>
          <w:tcPr>
            <w:tcW w:w="3760" w:type="dxa"/>
            <w:vAlign w:val="bottom"/>
          </w:tcPr>
          <w:p>
            <w:pPr>
              <w:spacing w:after="0"/>
              <w:rPr>
                <w:sz w:val="20"/>
                <w:szCs w:val="20"/>
                <w:color w:val="auto"/>
              </w:rPr>
            </w:pPr>
          </w:p>
        </w:tc>
      </w:tr>
      <w:tr>
        <w:trPr>
          <w:trHeight w:val="323"/>
        </w:trPr>
        <w:tc>
          <w:tcPr>
            <w:tcW w:w="306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10 S. Dearborn St., Floor 9</w:t>
            </w:r>
          </w:p>
        </w:tc>
        <w:tc>
          <w:tcPr>
            <w:tcW w:w="376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Chicago, IL 60603</w:t>
            </w:r>
          </w:p>
        </w:tc>
        <w:tc>
          <w:tcPr>
            <w:tcW w:w="37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Attn: Helen Davis</w:t>
            </w:r>
          </w:p>
        </w:tc>
        <w:tc>
          <w:tcPr>
            <w:tcW w:w="37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Tel: (312) 732-1759</w:t>
            </w:r>
          </w:p>
        </w:tc>
        <w:tc>
          <w:tcPr>
            <w:tcW w:w="376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Fax: (312) 732-1762</w:t>
            </w:r>
          </w:p>
        </w:tc>
        <w:tc>
          <w:tcPr>
            <w:tcW w:w="3760" w:type="dxa"/>
            <w:vAlign w:val="bottom"/>
          </w:tcPr>
          <w:p>
            <w:pPr>
              <w:spacing w:after="0"/>
              <w:rPr>
                <w:sz w:val="20"/>
                <w:szCs w:val="20"/>
                <w:color w:val="auto"/>
              </w:rPr>
            </w:pPr>
          </w:p>
        </w:tc>
      </w:tr>
      <w:tr>
        <w:trPr>
          <w:trHeight w:val="323"/>
        </w:trPr>
        <w:tc>
          <w:tcPr>
            <w:tcW w:w="3060" w:type="dxa"/>
            <w:vAlign w:val="bottom"/>
            <w:gridSpan w:val="2"/>
          </w:tcPr>
          <w:p>
            <w:pPr>
              <w:spacing w:after="0"/>
              <w:rPr>
                <w:sz w:val="20"/>
                <w:szCs w:val="20"/>
                <w:color w:val="auto"/>
              </w:rPr>
            </w:pPr>
            <w:r>
              <w:rPr>
                <w:rFonts w:ascii="Arial" w:cs="Arial" w:eastAsia="Arial" w:hAnsi="Arial"/>
                <w:sz w:val="18"/>
                <w:szCs w:val="18"/>
                <w:color w:val="auto"/>
                <w:w w:val="96"/>
              </w:rPr>
              <w:t>Wells Fargo Bank, National Association</w:t>
            </w: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301 S. College St., 14</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376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MAC: D1053-144</w:t>
            </w:r>
          </w:p>
        </w:tc>
        <w:tc>
          <w:tcPr>
            <w:tcW w:w="37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Charlotte, NC 28202</w:t>
            </w:r>
          </w:p>
        </w:tc>
        <w:tc>
          <w:tcPr>
            <w:tcW w:w="37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Attn: Rick Price</w:t>
            </w:r>
          </w:p>
        </w:tc>
        <w:tc>
          <w:tcPr>
            <w:tcW w:w="37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Tel: (704) 374-4062</w:t>
            </w:r>
          </w:p>
        </w:tc>
        <w:tc>
          <w:tcPr>
            <w:tcW w:w="376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Fax: (704) 715-1486</w:t>
            </w:r>
          </w:p>
        </w:tc>
        <w:tc>
          <w:tcPr>
            <w:tcW w:w="3760" w:type="dxa"/>
            <w:vAlign w:val="bottom"/>
          </w:tcPr>
          <w:p>
            <w:pPr>
              <w:spacing w:after="0"/>
              <w:rPr>
                <w:sz w:val="20"/>
                <w:szCs w:val="20"/>
                <w:color w:val="auto"/>
              </w:rPr>
            </w:pPr>
          </w:p>
        </w:tc>
      </w:tr>
      <w:tr>
        <w:trPr>
          <w:trHeight w:val="323"/>
        </w:trPr>
        <w:tc>
          <w:tcPr>
            <w:tcW w:w="3060" w:type="dxa"/>
            <w:vAlign w:val="bottom"/>
            <w:gridSpan w:val="2"/>
          </w:tcPr>
          <w:p>
            <w:pPr>
              <w:spacing w:after="0"/>
              <w:rPr>
                <w:sz w:val="20"/>
                <w:szCs w:val="20"/>
                <w:color w:val="auto"/>
              </w:rPr>
            </w:pPr>
            <w:r>
              <w:rPr>
                <w:rFonts w:ascii="Arial" w:cs="Arial" w:eastAsia="Arial" w:hAnsi="Arial"/>
                <w:sz w:val="18"/>
                <w:szCs w:val="18"/>
                <w:color w:val="auto"/>
              </w:rPr>
              <w:t>The Bank of New York Mellon</w:t>
            </w: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240 Greenwich Street,</w:t>
            </w:r>
          </w:p>
        </w:tc>
        <w:tc>
          <w:tcPr>
            <w:tcW w:w="376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9th Floor – 101-0950</w:t>
            </w:r>
          </w:p>
        </w:tc>
        <w:tc>
          <w:tcPr>
            <w:tcW w:w="37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New York, NY 10286</w:t>
            </w:r>
          </w:p>
        </w:tc>
        <w:tc>
          <w:tcPr>
            <w:tcW w:w="37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Attn: Richard K. Fronapfel, Jr.</w:t>
            </w:r>
          </w:p>
        </w:tc>
        <w:tc>
          <w:tcPr>
            <w:tcW w:w="37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Tel: (212) 635-7615</w:t>
            </w:r>
          </w:p>
        </w:tc>
        <w:tc>
          <w:tcPr>
            <w:tcW w:w="376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Fax: (212) 635-7107</w:t>
            </w:r>
          </w:p>
        </w:tc>
        <w:tc>
          <w:tcPr>
            <w:tcW w:w="3760" w:type="dxa"/>
            <w:vAlign w:val="bottom"/>
          </w:tcPr>
          <w:p>
            <w:pPr>
              <w:spacing w:after="0"/>
              <w:rPr>
                <w:sz w:val="20"/>
                <w:szCs w:val="20"/>
                <w:color w:val="auto"/>
              </w:rPr>
            </w:pPr>
          </w:p>
        </w:tc>
      </w:tr>
      <w:tr>
        <w:trPr>
          <w:trHeight w:val="378"/>
        </w:trPr>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60" w:type="dxa"/>
            <w:vAlign w:val="bottom"/>
            <w:gridSpan w:val="2"/>
          </w:tcPr>
          <w:p>
            <w:pPr>
              <w:ind w:left="2000"/>
              <w:spacing w:after="0"/>
              <w:rPr>
                <w:sz w:val="20"/>
                <w:szCs w:val="20"/>
                <w:color w:val="auto"/>
              </w:rPr>
            </w:pPr>
            <w:r>
              <w:rPr>
                <w:rFonts w:ascii="Arial" w:cs="Arial" w:eastAsia="Arial" w:hAnsi="Arial"/>
                <w:sz w:val="18"/>
                <w:szCs w:val="18"/>
                <w:color w:val="auto"/>
              </w:rPr>
              <w:t>Sch. I-1</w:t>
            </w:r>
          </w:p>
        </w:tc>
        <w:tc>
          <w:tcPr>
            <w:tcW w:w="37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1" w:name="page102"/>
    <w:bookmarkEnd w:id="10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UGI UTILITIES,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COMMITMENTS</w:t>
      </w:r>
    </w:p>
    <w:p>
      <w:pPr>
        <w:spacing w:after="0" w:line="233" w:lineRule="exact"/>
        <w:rPr>
          <w:sz w:val="20"/>
          <w:szCs w:val="20"/>
          <w:color w:val="auto"/>
        </w:rPr>
      </w:pPr>
    </w:p>
    <w:tbl>
      <w:tblPr>
        <w:tblLayout w:type="fixed"/>
        <w:tblInd w:w="780" w:type="dxa"/>
        <w:tblCellMar>
          <w:top w:w="0" w:type="dxa"/>
          <w:left w:w="0" w:type="dxa"/>
          <w:bottom w:w="0" w:type="dxa"/>
          <w:right w:w="0" w:type="dxa"/>
        </w:tblCellMar>
      </w:tblPr>
      <w:tr>
        <w:trPr>
          <w:trHeight w:val="187"/>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Lender</w:t>
            </w:r>
          </w:p>
        </w:tc>
        <w:tc>
          <w:tcPr>
            <w:tcW w:w="4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Commitment</w:t>
            </w:r>
          </w:p>
        </w:tc>
      </w:tr>
      <w:tr>
        <w:trPr>
          <w:trHeight w:val="203"/>
        </w:trPr>
        <w:tc>
          <w:tcPr>
            <w:tcW w:w="4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PNC Bank, National Association</w:t>
            </w:r>
          </w:p>
        </w:tc>
        <w:tc>
          <w:tcPr>
            <w:tcW w:w="1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75,000,000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Citizens Bank, N.A.</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75,000,000</w:t>
            </w:r>
          </w:p>
        </w:tc>
        <w:tc>
          <w:tcPr>
            <w:tcW w:w="6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40,000,000</w:t>
            </w:r>
          </w:p>
        </w:tc>
        <w:tc>
          <w:tcPr>
            <w:tcW w:w="6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Credit Suisse AG, Cayman Islands Branch</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40,000,000</w:t>
            </w:r>
          </w:p>
        </w:tc>
        <w:tc>
          <w:tcPr>
            <w:tcW w:w="6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40,000,000</w:t>
            </w:r>
          </w:p>
        </w:tc>
        <w:tc>
          <w:tcPr>
            <w:tcW w:w="6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Wells Fargo Bank, National Association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40,000,000</w:t>
            </w:r>
          </w:p>
        </w:tc>
        <w:tc>
          <w:tcPr>
            <w:tcW w:w="6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Bank of New York Mellon</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40,000,000</w:t>
            </w:r>
          </w:p>
        </w:tc>
        <w:tc>
          <w:tcPr>
            <w:tcW w:w="60" w:type="dxa"/>
            <w:vAlign w:val="bottom"/>
            <w:shd w:val="clear" w:color="auto" w:fill="CCEEFF"/>
          </w:tcPr>
          <w:p>
            <w:pPr>
              <w:spacing w:after="0"/>
              <w:rPr>
                <w:sz w:val="18"/>
                <w:szCs w:val="18"/>
                <w:color w:val="auto"/>
              </w:rPr>
            </w:pPr>
          </w:p>
        </w:tc>
      </w:tr>
      <w:tr>
        <w:trPr>
          <w:trHeight w:val="224"/>
        </w:trPr>
        <w:tc>
          <w:tcPr>
            <w:tcW w:w="4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350,000,000</w:t>
            </w:r>
          </w:p>
        </w:tc>
        <w:tc>
          <w:tcPr>
            <w:tcW w:w="60" w:type="dxa"/>
            <w:vAlign w:val="bottom"/>
          </w:tcPr>
          <w:p>
            <w:pPr>
              <w:spacing w:after="0"/>
              <w:rPr>
                <w:sz w:val="19"/>
                <w:szCs w:val="19"/>
                <w:color w:val="auto"/>
              </w:rPr>
            </w:pPr>
          </w:p>
        </w:tc>
      </w:tr>
    </w:tbl>
    <w:p>
      <w:pPr>
        <w:spacing w:after="0" w:line="13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Sch. II-1</w:t>
      </w:r>
    </w:p>
    <w:p>
      <w:pPr>
        <w:sectPr>
          <w:pgSz w:w="11900" w:h="16838" w:orient="portrait"/>
          <w:cols w:equalWidth="0" w:num="1">
            <w:col w:w="10020"/>
          </w:cols>
          <w:pgMar w:left="1440" w:top="274" w:right="4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5.02(a)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UGI UTILITIES,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EXISTING LIENS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5.02(a)-1</w:t>
      </w:r>
    </w:p>
    <w:p>
      <w:pPr>
        <w:sectPr>
          <w:pgSz w:w="11900" w:h="16838" w:orient="portrait"/>
          <w:cols w:equalWidth="0" w:num="1">
            <w:col w:w="11020"/>
          </w:cols>
          <w:pgMar w:left="440" w:top="274" w:right="439" w:bottom="1440" w:gutter="0" w:footer="0" w:header="0"/>
        </w:sectPr>
      </w:pPr>
    </w:p>
    <w:bookmarkStart w:id="103" w:name="page104"/>
    <w:bookmarkEnd w:id="103"/>
    <w:p>
      <w:pPr>
        <w:ind w:left="90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 – FORM OF</w:t>
      </w:r>
    </w:p>
    <w:p>
      <w:pPr>
        <w:spacing w:after="0" w:line="35" w:lineRule="exact"/>
        <w:rPr>
          <w:sz w:val="20"/>
          <w:szCs w:val="20"/>
          <w:color w:val="auto"/>
        </w:rPr>
      </w:pPr>
    </w:p>
    <w:p>
      <w:pPr>
        <w:ind w:left="9300"/>
        <w:spacing w:after="0"/>
        <w:rPr>
          <w:sz w:val="20"/>
          <w:szCs w:val="20"/>
          <w:color w:val="auto"/>
        </w:rPr>
      </w:pPr>
      <w:r>
        <w:rPr>
          <w:rFonts w:ascii="Arial" w:cs="Arial" w:eastAsia="Arial" w:hAnsi="Arial"/>
          <w:sz w:val="17"/>
          <w:szCs w:val="17"/>
          <w:color w:val="auto"/>
        </w:rPr>
        <w:t>REVOLVING CREDIT</w:t>
      </w:r>
    </w:p>
    <w:p>
      <w:pPr>
        <w:spacing w:after="0" w:line="21" w:lineRule="exact"/>
        <w:rPr>
          <w:sz w:val="20"/>
          <w:szCs w:val="20"/>
          <w:color w:val="auto"/>
        </w:rPr>
      </w:pPr>
    </w:p>
    <w:p>
      <w:pPr>
        <w:ind w:left="9360"/>
        <w:spacing w:after="0"/>
        <w:rPr>
          <w:sz w:val="20"/>
          <w:szCs w:val="20"/>
          <w:color w:val="auto"/>
        </w:rPr>
      </w:pPr>
      <w:r>
        <w:rPr>
          <w:rFonts w:ascii="Arial" w:cs="Arial" w:eastAsia="Arial" w:hAnsi="Arial"/>
          <w:sz w:val="16"/>
          <w:szCs w:val="16"/>
          <w:color w:val="auto"/>
        </w:rPr>
        <w:t>PROMISSORY NOTE</w:t>
      </w:r>
    </w:p>
    <w:p>
      <w:pPr>
        <w:sectPr>
          <w:pgSz w:w="11900" w:h="16838" w:orient="portrait"/>
          <w:cols w:equalWidth="0" w:num="1">
            <w:col w:w="11020"/>
          </w:cols>
          <w:pgMar w:left="440" w:top="274" w:right="43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U.S.$_______________</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Dated: ____________ ___, 20__</w:t>
      </w:r>
    </w:p>
    <w:p>
      <w:pPr>
        <w:spacing w:after="0" w:line="200" w:lineRule="exact"/>
        <w:rPr>
          <w:sz w:val="20"/>
          <w:szCs w:val="20"/>
          <w:color w:val="auto"/>
        </w:rPr>
      </w:pPr>
    </w:p>
    <w:p>
      <w:pPr>
        <w:sectPr>
          <w:pgSz w:w="11900" w:h="16838" w:orient="portrait"/>
          <w:cols w:equalWidth="0" w:num="2">
            <w:col w:w="7940" w:space="720"/>
            <w:col w:w="2360"/>
          </w:cols>
          <w:pgMar w:left="440" w:top="274" w:right="439" w:bottom="1440" w:gutter="0" w:footer="0" w:header="0"/>
          <w:type w:val="continuous"/>
        </w:sectPr>
      </w:pPr>
    </w:p>
    <w:p>
      <w:pPr>
        <w:spacing w:after="0" w:line="48"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FOR VALUE RECEIVED, the undersigned, UGI UTILITIES, INC., a Pennsylvania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HEREBY PROMISES TO PAY to _________________________ or its registered assigns (the “</w:t>
      </w:r>
      <w:r>
        <w:rPr>
          <w:rFonts w:ascii="Arial" w:cs="Arial" w:eastAsia="Arial" w:hAnsi="Arial"/>
          <w:sz w:val="16"/>
          <w:szCs w:val="16"/>
          <w:u w:val="single" w:color="auto"/>
          <w:color w:val="auto"/>
        </w:rPr>
        <w:t>Lender</w:t>
      </w:r>
      <w:r>
        <w:rPr>
          <w:rFonts w:ascii="Arial" w:cs="Arial" w:eastAsia="Arial" w:hAnsi="Arial"/>
          <w:sz w:val="16"/>
          <w:szCs w:val="16"/>
          <w:color w:val="auto"/>
        </w:rPr>
        <w:t>”) for the account of its Applicable Lending Office on the Termination Date</w:t>
      </w:r>
    </w:p>
    <w:p>
      <w:pPr>
        <w:ind w:right="20"/>
        <w:spacing w:after="0" w:line="281" w:lineRule="auto"/>
        <w:rPr>
          <w:sz w:val="20"/>
          <w:szCs w:val="20"/>
          <w:color w:val="auto"/>
        </w:rPr>
      </w:pPr>
      <w:r>
        <w:rPr>
          <w:rFonts w:ascii="Arial" w:cs="Arial" w:eastAsia="Arial" w:hAnsi="Arial"/>
          <w:sz w:val="16"/>
          <w:szCs w:val="16"/>
          <w:color w:val="auto"/>
        </w:rPr>
        <w:t>(each as defined in the Credit Agreement referred to below) the principal sum of U.S.$</w:t>
      </w:r>
      <w:r>
        <w:rPr>
          <w:rFonts w:ascii="Arial" w:cs="Arial" w:eastAsia="Arial" w:hAnsi="Arial"/>
          <w:sz w:val="16"/>
          <w:szCs w:val="16"/>
          <w:b w:val="1"/>
          <w:bCs w:val="1"/>
          <w:color w:val="auto"/>
        </w:rPr>
        <w:t>[amount of the Lender’s Commitment in figures]</w:t>
      </w:r>
      <w:r>
        <w:rPr>
          <w:rFonts w:ascii="Arial" w:cs="Arial" w:eastAsia="Arial" w:hAnsi="Arial"/>
          <w:sz w:val="16"/>
          <w:szCs w:val="16"/>
          <w:color w:val="auto"/>
        </w:rPr>
        <w:t xml:space="preserve"> or, if less, the aggregate principal amount of the Revolving Credit Advances made by the Lender to the Borrower pursuant to the Credit Agreement dated as of</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June 27, 2019 among the Borrower, the Lender and certain other lenders parties thereto, PNC Bank, National Association, as Agent for the Lender and such other lenders, and Citizens Bank, N.A., as syndication agent (as amended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outstanding on the Termination Date.</w:t>
      </w:r>
    </w:p>
    <w:p>
      <w:pPr>
        <w:spacing w:after="0" w:line="190"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The Borrower promises to pay interest on the unpaid principal amount of each Revolving Credit Advance from the date of such Revolving Credit Advance until such principal amount is paid in full, at such interest rates, and payable at such times, as are specified in the Credit Agreement.</w:t>
      </w:r>
    </w:p>
    <w:p>
      <w:pPr>
        <w:spacing w:after="0" w:line="12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Both principal and interest are payable in lawful money of the United States of America to PNC, as Agent, at 500 First Avenue, Fourth Floor, Pittsburgh, PA 15219, in same day funds. The holder of this Revolving Credit Note is authorized to endorse on Schedule I annexed hereto each Revolving Credit Advance made by the Lender to the Borrower pursuant to the Credit Agreement, and all payments made on account of principal thereof, and any such endorsement or recordation shall constitute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accuracy of the information so endorsed or recorded;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failure to make any such endorsement or recordation (or any error in such endorsement or recordation) shall not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the Borrower to make payments of principal, interest and other amounts outstanding in accordance with the terms of this Revolving Credit Note and the Credit Agreement.</w:t>
      </w:r>
    </w:p>
    <w:p>
      <w:pPr>
        <w:spacing w:after="0" w:line="18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This Promissory Note is one of the Revolving Credit Notes referred to in, and is entitled to the benefits of, the Credit Agreement. The Credit Agreement, among other things, (i) provides for the making of Revolving Credit Advances by the Lender to the Borrower from time to time in an aggregate amount not to exceed at any time outstanding the U.S. dollar amount first above mentioned, the indebtedness of the Borrower resulting from each such Revolving Credit Advance being evidenced by this Promissory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20"/>
          </w:cols>
          <w:pgMar w:left="440" w:top="274" w:right="439" w:bottom="1440" w:gutter="0" w:footer="0" w:header="0"/>
          <w:type w:val="continuous"/>
        </w:sectPr>
      </w:pPr>
    </w:p>
    <w:bookmarkStart w:id="104" w:name="page105"/>
    <w:bookmarkEnd w:id="10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UGI UTILITIES, INC.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14605</wp:posOffset>
            </wp:positionV>
            <wp:extent cx="26244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A-1-2</w:t>
      </w:r>
    </w:p>
    <w:p>
      <w:pPr>
        <w:sectPr>
          <w:pgSz w:w="11900" w:h="16838" w:orient="portrait"/>
          <w:cols w:equalWidth="0" w:num="1">
            <w:col w:w="9019"/>
          </w:cols>
          <w:pgMar w:left="1440" w:top="274" w:right="1440"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ADVANCES AND PAYMENTS OF PRINCIPAL</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2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6"/>
              </w:rPr>
              <w:t>Unpaid</w:t>
            </w:r>
          </w:p>
        </w:tc>
        <w:tc>
          <w:tcPr>
            <w:tcW w:w="120" w:type="dxa"/>
            <w:vAlign w:val="bottom"/>
          </w:tcPr>
          <w:p>
            <w:pPr>
              <w:spacing w:after="0"/>
              <w:rPr>
                <w:sz w:val="14"/>
                <w:szCs w:val="14"/>
                <w:color w:val="auto"/>
              </w:rPr>
            </w:pPr>
          </w:p>
        </w:tc>
        <w:tc>
          <w:tcPr>
            <w:tcW w:w="17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Notation</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Paid</w:t>
            </w:r>
          </w:p>
        </w:tc>
        <w:tc>
          <w:tcPr>
            <w:tcW w:w="26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Advance</w:t>
            </w:r>
          </w:p>
        </w:tc>
        <w:tc>
          <w:tcPr>
            <w:tcW w:w="10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5"/>
              </w:rPr>
              <w:t>or Prepaid</w:t>
            </w:r>
          </w:p>
        </w:tc>
        <w:tc>
          <w:tcPr>
            <w:tcW w:w="26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6"/>
                <w:szCs w:val="16"/>
                <w:color w:val="auto"/>
              </w:rPr>
            </w:pPr>
          </w:p>
        </w:tc>
        <w:tc>
          <w:tcPr>
            <w:tcW w:w="1760" w:type="dxa"/>
            <w:vAlign w:val="bottom"/>
          </w:tcPr>
          <w:p>
            <w:pPr>
              <w:ind w:left="580"/>
              <w:spacing w:after="0"/>
              <w:rPr>
                <w:sz w:val="20"/>
                <w:szCs w:val="20"/>
                <w:color w:val="auto"/>
              </w:rPr>
            </w:pPr>
            <w:r>
              <w:rPr>
                <w:rFonts w:ascii="Arial" w:cs="Arial" w:eastAsia="Arial" w:hAnsi="Arial"/>
                <w:sz w:val="14"/>
                <w:szCs w:val="14"/>
                <w:b w:val="1"/>
                <w:bCs w:val="1"/>
                <w:color w:val="auto"/>
              </w:rPr>
              <w:t>Made By</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4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Borders>
              <w:top w:val="single" w:sz="8" w:color="auto"/>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040"/>
          </w:cols>
          <w:pgMar w:left="440" w:top="274" w:right="4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EXHIBIT A-2 – FORM OF</w:t>
            </w:r>
          </w:p>
        </w:tc>
      </w:tr>
      <w:tr>
        <w:trPr>
          <w:trHeight w:val="216"/>
        </w:trPr>
        <w:tc>
          <w:tcPr>
            <w:tcW w:w="4940" w:type="dxa"/>
            <w:vAlign w:val="bottom"/>
          </w:tcPr>
          <w:p>
            <w:pPr>
              <w:spacing w:after="0"/>
              <w:rPr>
                <w:sz w:val="18"/>
                <w:szCs w:val="18"/>
                <w:color w:val="auto"/>
              </w:rPr>
            </w:pP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SWING LINE</w:t>
            </w:r>
          </w:p>
        </w:tc>
      </w:tr>
      <w:tr>
        <w:trPr>
          <w:trHeight w:val="230"/>
        </w:trPr>
        <w:tc>
          <w:tcPr>
            <w:tcW w:w="4940" w:type="dxa"/>
            <w:vAlign w:val="bottom"/>
          </w:tcPr>
          <w:p>
            <w:pPr>
              <w:spacing w:after="0"/>
              <w:rPr>
                <w:sz w:val="20"/>
                <w:szCs w:val="20"/>
                <w:color w:val="auto"/>
              </w:rPr>
            </w:pP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PROMISSORY NOTE</w:t>
            </w:r>
          </w:p>
        </w:tc>
      </w:tr>
      <w:tr>
        <w:trPr>
          <w:trHeight w:val="419"/>
        </w:trPr>
        <w:tc>
          <w:tcPr>
            <w:tcW w:w="4940" w:type="dxa"/>
            <w:vAlign w:val="bottom"/>
          </w:tcPr>
          <w:p>
            <w:pPr>
              <w:spacing w:after="0"/>
              <w:rPr>
                <w:sz w:val="20"/>
                <w:szCs w:val="20"/>
                <w:color w:val="auto"/>
              </w:rPr>
            </w:pPr>
            <w:r>
              <w:rPr>
                <w:rFonts w:ascii="Arial" w:cs="Arial" w:eastAsia="Arial" w:hAnsi="Arial"/>
                <w:sz w:val="18"/>
                <w:szCs w:val="18"/>
                <w:color w:val="auto"/>
              </w:rPr>
              <w:t>U.S.$35,000,000</w:t>
            </w:r>
          </w:p>
        </w:tc>
        <w:tc>
          <w:tcPr>
            <w:tcW w:w="6080" w:type="dxa"/>
            <w:vAlign w:val="bottom"/>
            <w:gridSpan w:val="2"/>
          </w:tcPr>
          <w:p>
            <w:pPr>
              <w:jc w:val="right"/>
              <w:ind w:right="180"/>
              <w:spacing w:after="0"/>
              <w:rPr>
                <w:sz w:val="20"/>
                <w:szCs w:val="20"/>
                <w:color w:val="auto"/>
              </w:rPr>
            </w:pPr>
            <w:r>
              <w:rPr>
                <w:rFonts w:ascii="Arial" w:cs="Arial" w:eastAsia="Arial" w:hAnsi="Arial"/>
                <w:sz w:val="18"/>
                <w:szCs w:val="18"/>
                <w:color w:val="auto"/>
              </w:rPr>
              <w:t>Dated: ____________ ___, 20</w:t>
            </w:r>
          </w:p>
        </w:tc>
      </w:tr>
      <w:tr>
        <w:trPr>
          <w:trHeight w:val="20"/>
        </w:trPr>
        <w:tc>
          <w:tcPr>
            <w:tcW w:w="49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80" w:firstLine="441"/>
        <w:spacing w:after="0" w:line="291" w:lineRule="auto"/>
        <w:rPr>
          <w:sz w:val="20"/>
          <w:szCs w:val="20"/>
          <w:color w:val="auto"/>
        </w:rPr>
      </w:pPr>
      <w:r>
        <w:rPr>
          <w:rFonts w:ascii="Arial" w:cs="Arial" w:eastAsia="Arial" w:hAnsi="Arial"/>
          <w:sz w:val="16"/>
          <w:szCs w:val="16"/>
          <w:color w:val="auto"/>
        </w:rPr>
        <w:t>FOR VALUE RECEIVED, the undersigned, UGI UTILITIES, INC., a Pennsylvania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HEREBY PROMISES TO PAY to _______________ or its registered assigns (the “</w:t>
      </w:r>
      <w:r>
        <w:rPr>
          <w:rFonts w:ascii="Arial" w:cs="Arial" w:eastAsia="Arial" w:hAnsi="Arial"/>
          <w:sz w:val="16"/>
          <w:szCs w:val="16"/>
          <w:u w:val="single" w:color="auto"/>
          <w:color w:val="auto"/>
        </w:rPr>
        <w:t>Swing Line Lender</w:t>
      </w:r>
      <w:r>
        <w:rPr>
          <w:rFonts w:ascii="Arial" w:cs="Arial" w:eastAsia="Arial" w:hAnsi="Arial"/>
          <w:sz w:val="16"/>
          <w:szCs w:val="16"/>
          <w:color w:val="auto"/>
        </w:rPr>
        <w:t>”) for the account of its Applicable Lending Office on the Termination Date</w:t>
      </w:r>
    </w:p>
    <w:p>
      <w:pPr>
        <w:spacing w:after="0" w:line="253" w:lineRule="auto"/>
        <w:rPr>
          <w:sz w:val="20"/>
          <w:szCs w:val="20"/>
          <w:color w:val="auto"/>
        </w:rPr>
      </w:pPr>
      <w:r>
        <w:rPr>
          <w:rFonts w:ascii="Arial" w:cs="Arial" w:eastAsia="Arial" w:hAnsi="Arial"/>
          <w:sz w:val="18"/>
          <w:szCs w:val="18"/>
          <w:color w:val="auto"/>
        </w:rPr>
        <w:t>(each as defined in the Credit Agreement referred to below) the principal sum of U.S.$35,000,000 or, if less, the aggregate principal amount of the Swing Line Advances made by the Swing Line Lender to the Borrower pursuant to the Credit Agreement dated as of June 27, 2019 among the Borrower, the Swing Line Lender and certain other lenders parties thereto, PNC Bank, National Association, as Agent for the Swing Line Lender and such other lenders, and Citizens Bank, N.A., as syndication agent (as amended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outstanding on the Termination Date.</w:t>
      </w:r>
    </w:p>
    <w:p>
      <w:pPr>
        <w:spacing w:after="0" w:line="191" w:lineRule="exact"/>
        <w:rPr>
          <w:sz w:val="20"/>
          <w:szCs w:val="20"/>
          <w:color w:val="auto"/>
        </w:rPr>
      </w:pPr>
    </w:p>
    <w:p>
      <w:pPr>
        <w:ind w:right="240" w:firstLine="441"/>
        <w:spacing w:after="0" w:line="308" w:lineRule="auto"/>
        <w:rPr>
          <w:sz w:val="20"/>
          <w:szCs w:val="20"/>
          <w:color w:val="auto"/>
        </w:rPr>
      </w:pPr>
      <w:r>
        <w:rPr>
          <w:rFonts w:ascii="Arial" w:cs="Arial" w:eastAsia="Arial" w:hAnsi="Arial"/>
          <w:sz w:val="17"/>
          <w:szCs w:val="17"/>
          <w:color w:val="auto"/>
        </w:rPr>
        <w:t>The Borrower promises to pay interest on the unpaid principal amount of each Swing Line Advance from the date of such Swing Line Advance until such principal amount is paid in full, at such interest rates, and payable at such times, as are specified in the Credit Agreement.</w:t>
      </w:r>
    </w:p>
    <w:p>
      <w:pPr>
        <w:spacing w:after="0" w:line="14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Both principal and interest are payable in lawful money of the United States of America to PNC, as Agent, at 500 First Avenue, Fourth Floor, Pittsburgh, PA 15219, in same day funds. The holder of this Swing Line Note is authorized to endorse on Schedule I annexed hereto each Swing Line Advance made by the Swing Line Lender to the Borrower pursuant to the Credit Agreement, and all payments made on account of principal thereof, and any such endorsement or recordation shall constitute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accuracy of the information so endorsed or recorded;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failure to make any such endorsement or recordation (or any error in such endorsement or recordation) shall not affect the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Borrower to make payments of principal, interest and other amounts outstanding in accordance with the terms of this Swing Line Note and the Credit Agreement.</w:t>
      </w:r>
    </w:p>
    <w:p>
      <w:pPr>
        <w:spacing w:after="0" w:line="189"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This Promissory Note is the Swing Line Note referred to in, and is entitled to the benefits of, the Credit Agreement. The Credit Agreement, among other things, (i) provides for the making of Swing Line Advances by the Swing Line Lender to the Borrower from time to time in an aggregate amount not to exceed at any time outstanding the U.S. dollar amount first above mentioned, the indebtedness of the Borrower resulting from each such Swing Line Advance being evidenced by this Promissory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18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UGI UTILITIES,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14605</wp:posOffset>
            </wp:positionV>
            <wp:extent cx="26244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20"/>
          </w:cols>
          <w:pgMar w:left="440" w:top="274" w:right="439"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ADVANCES AND PAYMENTS OF PRINCIPAL</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2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6"/>
              </w:rPr>
              <w:t>Unpaid</w:t>
            </w:r>
          </w:p>
        </w:tc>
        <w:tc>
          <w:tcPr>
            <w:tcW w:w="120" w:type="dxa"/>
            <w:vAlign w:val="bottom"/>
          </w:tcPr>
          <w:p>
            <w:pPr>
              <w:spacing w:after="0"/>
              <w:rPr>
                <w:sz w:val="14"/>
                <w:szCs w:val="14"/>
                <w:color w:val="auto"/>
              </w:rPr>
            </w:pPr>
          </w:p>
        </w:tc>
        <w:tc>
          <w:tcPr>
            <w:tcW w:w="17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Notation</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Paid</w:t>
            </w:r>
          </w:p>
        </w:tc>
        <w:tc>
          <w:tcPr>
            <w:tcW w:w="26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Advance</w:t>
            </w:r>
          </w:p>
        </w:tc>
        <w:tc>
          <w:tcPr>
            <w:tcW w:w="10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5"/>
              </w:rPr>
              <w:t>or Prepaid</w:t>
            </w:r>
          </w:p>
        </w:tc>
        <w:tc>
          <w:tcPr>
            <w:tcW w:w="26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6"/>
                <w:szCs w:val="16"/>
                <w:color w:val="auto"/>
              </w:rPr>
            </w:pPr>
          </w:p>
        </w:tc>
        <w:tc>
          <w:tcPr>
            <w:tcW w:w="1760" w:type="dxa"/>
            <w:vAlign w:val="bottom"/>
          </w:tcPr>
          <w:p>
            <w:pPr>
              <w:ind w:left="580"/>
              <w:spacing w:after="0"/>
              <w:rPr>
                <w:sz w:val="20"/>
                <w:szCs w:val="20"/>
                <w:color w:val="auto"/>
              </w:rPr>
            </w:pPr>
            <w:r>
              <w:rPr>
                <w:rFonts w:ascii="Arial" w:cs="Arial" w:eastAsia="Arial" w:hAnsi="Arial"/>
                <w:sz w:val="14"/>
                <w:szCs w:val="14"/>
                <w:b w:val="1"/>
                <w:bCs w:val="1"/>
                <w:color w:val="auto"/>
              </w:rPr>
              <w:t>Made By</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4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Borders>
              <w:top w:val="single" w:sz="8" w:color="auto"/>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040"/>
          </w:cols>
          <w:pgMar w:left="440" w:top="274" w:right="4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B-1 – FORM OF NOTICE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BORROWING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 as Agent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the Lenders parties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the Credit Agreement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Firstside Center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500 First Avenue, 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Pittsburgh, PA 15219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Agency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(412) 762-8672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ryan.ruff@pnc.com; cheryl.thon@pnc.com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Agency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UGI Utilities, Inc., refers to the Credit Agreement, dated as of June 27, 2019 (as amended or modified from time to time,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among the undersigned, certain Lenders parties thereto, PNC Bank,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National Association, as Agent for said Lenders, and Citizens Bank, N.A., as syndication agent, and hereby gives you notice, irrevocably,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Section 2.02 of the Credit Agreement that the undersigned hereby requests a Revolving Credit Borrowing under the Credit Agreement, and in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sets forth below the information relating to such Revolving Credit Borrowing (the “</w:t>
      </w:r>
      <w:r>
        <w:rPr>
          <w:rFonts w:ascii="Arial" w:cs="Arial" w:eastAsia="Arial" w:hAnsi="Arial"/>
          <w:sz w:val="16"/>
          <w:szCs w:val="16"/>
          <w:u w:val="single" w:color="auto"/>
          <w:color w:val="auto"/>
        </w:rPr>
        <w:t>Proposed Revolving Credit Borrowing</w:t>
      </w:r>
      <w:r>
        <w:rPr>
          <w:rFonts w:ascii="Arial" w:cs="Arial" w:eastAsia="Arial" w:hAnsi="Arial"/>
          <w:sz w:val="16"/>
          <w:szCs w:val="16"/>
          <w:color w:val="auto"/>
        </w:rPr>
        <w:t>”) as required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2.02(a) of the Credit Agreement:</w:t>
      </w:r>
    </w:p>
    <w:p>
      <w:pPr>
        <w:spacing w:after="0" w:line="103" w:lineRule="exact"/>
        <w:rPr>
          <w:sz w:val="20"/>
          <w:szCs w:val="20"/>
          <w:color w:val="auto"/>
        </w:rPr>
      </w:pPr>
    </w:p>
    <w:p>
      <w:pPr>
        <w:ind w:left="440"/>
        <w:spacing w:after="0"/>
        <w:tabs>
          <w:tab w:leader="none" w:pos="6340" w:val="left"/>
          <w:tab w:leader="none" w:pos="6980" w:val="left"/>
        </w:tabs>
        <w:rPr>
          <w:sz w:val="20"/>
          <w:szCs w:val="20"/>
          <w:color w:val="auto"/>
        </w:rPr>
      </w:pPr>
      <w:r>
        <w:rPr>
          <w:rFonts w:ascii="Arial" w:cs="Arial" w:eastAsia="Arial" w:hAnsi="Arial"/>
          <w:sz w:val="18"/>
          <w:szCs w:val="18"/>
          <w:color w:val="auto"/>
        </w:rPr>
        <w:t>(i) The Business Day of the Proposed Revolving Credit Borrowing is</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-10160</wp:posOffset>
            </wp:positionV>
            <wp:extent cx="9715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(ii) The Type of Advances comprising the Proposed Revolving Credit Borrowing is [Base Rate Advances] [Eurodollar Rate Advances].</w:t>
      </w:r>
    </w:p>
    <w:p>
      <w:pPr>
        <w:spacing w:after="0" w:line="112"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5520" w:type="dxa"/>
            <w:vAlign w:val="bottom"/>
          </w:tcPr>
          <w:p>
            <w:pPr>
              <w:spacing w:after="0"/>
              <w:rPr>
                <w:sz w:val="20"/>
                <w:szCs w:val="20"/>
                <w:color w:val="auto"/>
              </w:rPr>
            </w:pPr>
            <w:r>
              <w:rPr>
                <w:rFonts w:ascii="Arial" w:cs="Arial" w:eastAsia="Arial" w:hAnsi="Arial"/>
                <w:sz w:val="18"/>
                <w:szCs w:val="18"/>
                <w:color w:val="auto"/>
                <w:w w:val="91"/>
              </w:rPr>
              <w:t>(iii) The aggregate amount of the Proposed Revolving Credit Borrowing is $</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r>
      <w:tr>
        <w:trPr>
          <w:trHeight w:val="20"/>
        </w:trPr>
        <w:tc>
          <w:tcPr>
            <w:tcW w:w="5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jc w:val="both"/>
        <w:ind w:left="440" w:right="120" w:hanging="436"/>
        <w:spacing w:after="0" w:line="302" w:lineRule="auto"/>
        <w:tabs>
          <w:tab w:leader="none" w:pos="440" w:val="left"/>
        </w:tabs>
        <w:numPr>
          <w:ilvl w:val="0"/>
          <w:numId w:val="108"/>
        </w:numPr>
        <w:rPr>
          <w:rFonts w:ascii="Arial" w:cs="Arial" w:eastAsia="Arial" w:hAnsi="Arial"/>
          <w:sz w:val="14"/>
          <w:szCs w:val="14"/>
          <w:color w:val="auto"/>
        </w:rPr>
      </w:pPr>
      <w:r>
        <w:rPr>
          <w:rFonts w:ascii="Arial" w:cs="Arial" w:eastAsia="Arial" w:hAnsi="Arial"/>
          <w:sz w:val="16"/>
          <w:szCs w:val="16"/>
          <w:color w:val="auto"/>
        </w:rPr>
        <w:t>For Eurodollar Rate Advances, minimums of $5,000,000 and increments of $1,000,000 in excess thereof. For Base Rate Advances, minimums of $1,000,000 and increments of $1,000,000 in excess thereof. Notice to be delivered not later than (a) 1:00 p.m. (Pittsburgh, Pennsylvania time) on the third Business Day prior to the date of the proposed Revolving Credit Borrowing in the case of Eurodollar Rate Advances or (b) 12:00 Noon (Pittsburgh, Pennsylvania time) on the date of the proposed Revolving Credit Borrowing in the case of Base Rate Advances.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020"/>
          </w:cols>
          <w:pgMar w:left="440" w:top="274" w:right="439" w:bottom="1440" w:gutter="0" w:footer="0" w:header="0"/>
        </w:sectPr>
      </w:pPr>
    </w:p>
    <w:bookmarkStart w:id="109" w:name="page110"/>
    <w:bookmarkEnd w:id="10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(iv) The undersigned hereby irrevocably requests [check one line below and fill in blank space next to the line as appropriate]:</w:t>
      </w:r>
    </w:p>
    <w:p>
      <w:pPr>
        <w:spacing w:after="0" w:line="131" w:lineRule="exact"/>
        <w:rPr>
          <w:sz w:val="20"/>
          <w:szCs w:val="20"/>
          <w:color w:val="auto"/>
        </w:rPr>
      </w:pPr>
    </w:p>
    <w:p>
      <w:pPr>
        <w:ind w:left="2020" w:hanging="540"/>
        <w:spacing w:after="0"/>
        <w:tabs>
          <w:tab w:leader="none" w:pos="20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Funds to be deposited into PNC bank account per our current standing instructions. Complete amount of deposit if not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3810</wp:posOffset>
            </wp:positionV>
            <wp:extent cx="3429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6" w:lineRule="exact"/>
        <w:rPr>
          <w:sz w:val="20"/>
          <w:szCs w:val="20"/>
          <w:color w:val="auto"/>
        </w:rPr>
      </w:pPr>
    </w:p>
    <w:p>
      <w:pPr>
        <w:ind w:left="2020"/>
        <w:spacing w:after="0"/>
        <w:tabs>
          <w:tab w:leader="none" w:pos="4620" w:val="left"/>
        </w:tabs>
        <w:rPr>
          <w:sz w:val="20"/>
          <w:szCs w:val="20"/>
          <w:color w:val="auto"/>
        </w:rPr>
      </w:pPr>
      <w:r>
        <w:rPr>
          <w:rFonts w:ascii="Arial" w:cs="Arial" w:eastAsia="Arial" w:hAnsi="Arial"/>
          <w:sz w:val="18"/>
          <w:szCs w:val="18"/>
          <w:color w:val="auto"/>
        </w:rPr>
        <w:t>loan advance amount: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-19050</wp:posOffset>
            </wp:positionV>
            <wp:extent cx="571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83" w:lineRule="exact"/>
        <w:rPr>
          <w:sz w:val="20"/>
          <w:szCs w:val="20"/>
          <w:color w:val="auto"/>
        </w:rPr>
      </w:pPr>
    </w:p>
    <w:p>
      <w:pPr>
        <w:ind w:left="2020" w:hanging="540"/>
        <w:spacing w:after="0"/>
        <w:tabs>
          <w:tab w:leader="none" w:pos="20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Funds to be wired per the following 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-10160</wp:posOffset>
            </wp:positionV>
            <wp:extent cx="3429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97" w:lineRule="exact"/>
        <w:rPr>
          <w:sz w:val="20"/>
          <w:szCs w:val="20"/>
          <w:color w:val="auto"/>
        </w:rPr>
      </w:pPr>
    </w:p>
    <w:p>
      <w:pPr>
        <w:ind w:left="2020" w:right="6120"/>
        <w:spacing w:after="0" w:line="391" w:lineRule="auto"/>
        <w:rPr>
          <w:sz w:val="20"/>
          <w:szCs w:val="20"/>
          <w:color w:val="auto"/>
        </w:rPr>
      </w:pPr>
      <w:r>
        <w:rPr>
          <w:rFonts w:ascii="Arial" w:cs="Arial" w:eastAsia="Arial" w:hAnsi="Arial"/>
          <w:sz w:val="18"/>
          <w:szCs w:val="18"/>
          <w:color w:val="auto"/>
        </w:rPr>
        <w:t>$ Amount of Wire Transfer Bank Name:</w:t>
      </w:r>
    </w:p>
    <w:p>
      <w:pPr>
        <w:ind w:left="2020"/>
        <w:spacing w:after="0"/>
        <w:rPr>
          <w:sz w:val="20"/>
          <w:szCs w:val="20"/>
          <w:color w:val="auto"/>
        </w:rPr>
      </w:pPr>
      <w:r>
        <w:rPr>
          <w:rFonts w:ascii="Arial" w:cs="Arial" w:eastAsia="Arial" w:hAnsi="Arial"/>
          <w:sz w:val="18"/>
          <w:szCs w:val="18"/>
          <w:color w:val="auto"/>
        </w:rPr>
        <w:t>ABA:</w:t>
      </w:r>
    </w:p>
    <w:p>
      <w:pPr>
        <w:spacing w:after="0" w:line="130" w:lineRule="exact"/>
        <w:rPr>
          <w:sz w:val="20"/>
          <w:szCs w:val="20"/>
          <w:color w:val="auto"/>
        </w:rPr>
      </w:pPr>
    </w:p>
    <w:p>
      <w:pPr>
        <w:ind w:left="2020" w:right="7680"/>
        <w:spacing w:after="0" w:line="440" w:lineRule="auto"/>
        <w:rPr>
          <w:sz w:val="20"/>
          <w:szCs w:val="20"/>
          <w:color w:val="auto"/>
        </w:rPr>
      </w:pPr>
      <w:r>
        <w:rPr>
          <w:rFonts w:ascii="Arial" w:cs="Arial" w:eastAsia="Arial" w:hAnsi="Arial"/>
          <w:sz w:val="16"/>
          <w:szCs w:val="16"/>
          <w:color w:val="auto"/>
        </w:rPr>
        <w:t>Account Number: Account Name: Reference:</w:t>
      </w:r>
    </w:p>
    <w:p>
      <w:pPr>
        <w:ind w:left="2020" w:hanging="540"/>
        <w:spacing w:after="0"/>
        <w:tabs>
          <w:tab w:leader="none" w:pos="20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Funds to be wired per the attached Funds Flow (multiple wire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1337310</wp:posOffset>
            </wp:positionH>
            <wp:positionV relativeFrom="paragraph">
              <wp:posOffset>-1296670</wp:posOffset>
            </wp:positionV>
            <wp:extent cx="571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-1082040</wp:posOffset>
            </wp:positionV>
            <wp:extent cx="15716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71625" cy="889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-868045</wp:posOffset>
            </wp:positionV>
            <wp:extent cx="18573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57375" cy="88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-653415</wp:posOffset>
            </wp:positionV>
            <wp:extent cx="12858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-438785</wp:posOffset>
            </wp:positionV>
            <wp:extent cx="14001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00175" cy="889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-224790</wp:posOffset>
            </wp:positionV>
            <wp:extent cx="162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28775" cy="889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-10160</wp:posOffset>
            </wp:positionV>
            <wp:extent cx="3429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97"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[(v) The initial Interest Period for each Eurodollar Rate Advance made as part of the Proposed Revolving Credit Borrowing is [two weeks] [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-182245</wp:posOffset>
            </wp:positionV>
            <wp:extent cx="2286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50"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 Proposed Revolving Credit Borrowing:</w:t>
      </w:r>
    </w:p>
    <w:p>
      <w:pPr>
        <w:spacing w:after="0" w:line="62" w:lineRule="exact"/>
        <w:rPr>
          <w:sz w:val="20"/>
          <w:szCs w:val="20"/>
          <w:color w:val="auto"/>
        </w:rPr>
      </w:pPr>
    </w:p>
    <w:p>
      <w:pPr>
        <w:ind w:firstLine="444"/>
        <w:spacing w:after="0" w:line="273" w:lineRule="auto"/>
        <w:tabs>
          <w:tab w:leader="none" w:pos="73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representations and warranties contained in Section 4.01 of the Credit Agreement are true and correct in all material respects (except that any representation or warranty which is already qualified as to materiality or by reference to a Material Adverse Effect is true and correct in all respects), before and after giving effect to the Proposed Revolving Credit Borrowing and to the application of the proceeds therefrom, as though made on and as of such date, except to the extent such representations and warranties expressly relate to an earlier date, in which case such representations and warranties were true and correct in all material respects (except that any representation or warranty which is qualified as to materiality or by reference to a Material Adverse Effect were true and correct in all respects) as of such earlier date; and</w:t>
      </w:r>
    </w:p>
    <w:p>
      <w:pPr>
        <w:spacing w:after="0" w:line="70" w:lineRule="exact"/>
        <w:rPr>
          <w:rFonts w:ascii="Arial" w:cs="Arial" w:eastAsia="Arial" w:hAnsi="Arial"/>
          <w:sz w:val="17"/>
          <w:szCs w:val="17"/>
          <w:color w:val="auto"/>
        </w:rPr>
      </w:pPr>
    </w:p>
    <w:p>
      <w:pPr>
        <w:ind w:right="480" w:firstLine="444"/>
        <w:spacing w:after="0" w:line="277" w:lineRule="auto"/>
        <w:tabs>
          <w:tab w:leader="none" w:pos="72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Proposed Revolving Credit Borrowing or from the application of the proceeds therefrom, that constitutes a Default.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000"/>
          </w:cols>
          <w:pgMar w:left="440" w:top="274" w:right="459" w:bottom="1440" w:gutter="0" w:footer="0" w:header="0"/>
        </w:sectPr>
      </w:pPr>
    </w:p>
    <w:bookmarkStart w:id="110" w:name="page111"/>
    <w:bookmarkEnd w:id="11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UGI UTILITIES, INC.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B-1-3</w:t>
      </w:r>
    </w:p>
    <w:p>
      <w:pPr>
        <w:sectPr>
          <w:pgSz w:w="11900" w:h="16838" w:orient="portrait"/>
          <w:cols w:equalWidth="0" w:num="1">
            <w:col w:w="9019"/>
          </w:cols>
          <w:pgMar w:left="1440" w:top="274"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B-2 – FORM OF NOTICE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SWING LINE BORROWING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 as Swing Line Lender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PNC Firstside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First Avenue,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Pittsburgh, PA 15219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Agency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(412) 762-8672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ryan.ruff@pnc.com; cheryl.thon@pnc.com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Agency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UGI Utilities, Inc., refers to the Credit Agreement, dated as of June 27, 2019 (as amended or modified from time to time,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among the undersigned, certain Lenders parties thereto, PNC Bank,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National Association, as Agent for said Lenders, and Citizens Bank, N.A., as syndication agent, and hereby gives you notice, irrevocably,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2.03 of the Credit Agreement that the undersigned hereby requests a Swing Line Advance under the Credit Agreement, and in that connection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sets forth below the information relating to such Swing Line Advance (the “</w:t>
      </w:r>
      <w:r>
        <w:rPr>
          <w:rFonts w:ascii="Arial" w:cs="Arial" w:eastAsia="Arial" w:hAnsi="Arial"/>
          <w:sz w:val="17"/>
          <w:szCs w:val="17"/>
          <w:u w:val="single" w:color="auto"/>
          <w:color w:val="auto"/>
        </w:rPr>
        <w:t>Proposed Swing Line Advance</w:t>
      </w:r>
      <w:r>
        <w:rPr>
          <w:rFonts w:ascii="Arial" w:cs="Arial" w:eastAsia="Arial" w:hAnsi="Arial"/>
          <w:sz w:val="17"/>
          <w:szCs w:val="17"/>
          <w:color w:val="auto"/>
        </w:rPr>
        <w:t>”) as required by Section 2.03(b)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w:t>
      </w:r>
    </w:p>
    <w:p>
      <w:pPr>
        <w:spacing w:after="0" w:line="86"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4480" w:type="dxa"/>
            <w:vAlign w:val="bottom"/>
          </w:tcPr>
          <w:p>
            <w:pPr>
              <w:spacing w:after="0"/>
              <w:rPr>
                <w:sz w:val="20"/>
                <w:szCs w:val="20"/>
                <w:color w:val="auto"/>
              </w:rPr>
            </w:pPr>
            <w:r>
              <w:rPr>
                <w:rFonts w:ascii="Arial" w:cs="Arial" w:eastAsia="Arial" w:hAnsi="Arial"/>
                <w:sz w:val="18"/>
                <w:szCs w:val="18"/>
                <w:color w:val="auto"/>
                <w:w w:val="91"/>
              </w:rPr>
              <w:t>(i) The Business Day of the Proposed Swing Line Advance is</w:t>
            </w:r>
          </w:p>
        </w:tc>
        <w:tc>
          <w:tcPr>
            <w:tcW w:w="440" w:type="dxa"/>
            <w:vAlign w:val="bottom"/>
          </w:tcPr>
          <w:p>
            <w:pPr>
              <w:spacing w:after="0"/>
              <w:rPr>
                <w:sz w:val="17"/>
                <w:szCs w:val="17"/>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 20  .</w:t>
            </w:r>
          </w:p>
        </w:tc>
      </w:tr>
      <w:tr>
        <w:trPr>
          <w:trHeight w:val="20"/>
        </w:trPr>
        <w:tc>
          <w:tcPr>
            <w:tcW w:w="4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4920" w:type="dxa"/>
            <w:vAlign w:val="bottom"/>
            <w:gridSpan w:val="2"/>
          </w:tcPr>
          <w:p>
            <w:pPr>
              <w:spacing w:after="0"/>
              <w:rPr>
                <w:sz w:val="20"/>
                <w:szCs w:val="20"/>
                <w:color w:val="auto"/>
              </w:rPr>
            </w:pPr>
            <w:r>
              <w:rPr>
                <w:rFonts w:ascii="Arial" w:cs="Arial" w:eastAsia="Arial" w:hAnsi="Arial"/>
                <w:sz w:val="18"/>
                <w:szCs w:val="18"/>
                <w:color w:val="auto"/>
                <w:w w:val="90"/>
              </w:rPr>
              <w:t>(ii) The aggregate amount of the Proposed Swing Line Advance is $</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r>
      <w:tr>
        <w:trPr>
          <w:trHeight w:val="20"/>
        </w:trPr>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(iii) The undersigned hereby irrevocably requests [check one line below and fill in blank space next to the line as appropriate]:</w:t>
      </w:r>
    </w:p>
    <w:p>
      <w:pPr>
        <w:spacing w:after="0" w:line="252" w:lineRule="exact"/>
        <w:rPr>
          <w:sz w:val="20"/>
          <w:szCs w:val="20"/>
          <w:color w:val="auto"/>
        </w:rPr>
      </w:pPr>
    </w:p>
    <w:p>
      <w:pPr>
        <w:ind w:left="1620" w:hanging="585"/>
        <w:spacing w:after="0"/>
        <w:tabs>
          <w:tab w:leader="none" w:pos="16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Funds to be deposited into PNC bank account per our current standing instructions. Complete amount of deposit if not full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3810</wp:posOffset>
            </wp:positionV>
            <wp:extent cx="3429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6" w:lineRule="exact"/>
        <w:rPr>
          <w:sz w:val="20"/>
          <w:szCs w:val="20"/>
          <w:color w:val="auto"/>
        </w:rPr>
      </w:pPr>
    </w:p>
    <w:p>
      <w:pPr>
        <w:ind w:left="1620"/>
        <w:spacing w:after="0"/>
        <w:tabs>
          <w:tab w:leader="none" w:pos="4040" w:val="left"/>
        </w:tabs>
        <w:rPr>
          <w:sz w:val="20"/>
          <w:szCs w:val="20"/>
          <w:color w:val="auto"/>
        </w:rPr>
      </w:pPr>
      <w:r>
        <w:rPr>
          <w:rFonts w:ascii="Arial" w:cs="Arial" w:eastAsia="Arial" w:hAnsi="Arial"/>
          <w:sz w:val="18"/>
          <w:szCs w:val="18"/>
          <w:color w:val="auto"/>
        </w:rPr>
        <w:t>advance amount: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1894840</wp:posOffset>
            </wp:positionH>
            <wp:positionV relativeFrom="paragraph">
              <wp:posOffset>-19050</wp:posOffset>
            </wp:positionV>
            <wp:extent cx="6858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83" w:lineRule="exact"/>
        <w:rPr>
          <w:sz w:val="20"/>
          <w:szCs w:val="20"/>
          <w:color w:val="auto"/>
        </w:rPr>
      </w:pPr>
    </w:p>
    <w:p>
      <w:pPr>
        <w:ind w:left="1620" w:hanging="585"/>
        <w:spacing w:after="0"/>
        <w:tabs>
          <w:tab w:leader="none" w:pos="1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Funds to be wired per the following 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-10160</wp:posOffset>
            </wp:positionV>
            <wp:extent cx="3429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97" w:lineRule="exact"/>
        <w:rPr>
          <w:sz w:val="20"/>
          <w:szCs w:val="20"/>
          <w:color w:val="auto"/>
        </w:rPr>
      </w:pPr>
    </w:p>
    <w:p>
      <w:pPr>
        <w:ind w:left="2660" w:hanging="1036"/>
        <w:spacing w:after="0"/>
        <w:tabs>
          <w:tab w:leader="none" w:pos="26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Amount of Wire Transfer</w:t>
      </w:r>
    </w:p>
    <w:p>
      <w:pPr>
        <w:spacing w:after="0" w:line="130"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Bank Name: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40" w:right="340" w:hanging="432"/>
        <w:spacing w:after="0" w:line="277"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Minimum of $100,000 and increments of $100,000 in excess thereof. Notice to be delivered not later than 1:00 p.m. (Pittsburgh, Pennsylvania time) on the Business Day such Swing Line Advance is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6946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1088390</wp:posOffset>
            </wp:positionH>
            <wp:positionV relativeFrom="paragraph">
              <wp:posOffset>-816610</wp:posOffset>
            </wp:positionV>
            <wp:extent cx="571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-602615</wp:posOffset>
            </wp:positionV>
            <wp:extent cx="11430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020"/>
          </w:cols>
          <w:pgMar w:left="440" w:top="274" w:right="439" w:bottom="1440" w:gutter="0" w:footer="0" w:header="0"/>
        </w:sectPr>
      </w:pPr>
    </w:p>
    <w:bookmarkStart w:id="112" w:name="page113"/>
    <w:bookmarkEnd w:id="112"/>
    <w:p>
      <w:pPr>
        <w:ind w:left="1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-10160</wp:posOffset>
            </wp:positionV>
            <wp:extent cx="26860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20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1767840</wp:posOffset>
            </wp:positionH>
            <wp:positionV relativeFrom="paragraph">
              <wp:posOffset>-10160</wp:posOffset>
            </wp:positionV>
            <wp:extent cx="20859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20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1666240</wp:posOffset>
            </wp:positionH>
            <wp:positionV relativeFrom="paragraph">
              <wp:posOffset>-10160</wp:posOffset>
            </wp:positionV>
            <wp:extent cx="22002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00275" cy="8890"/>
                    </a:xfrm>
                    <a:prstGeom prst="rect">
                      <a:avLst/>
                    </a:prstGeom>
                    <a:noFill/>
                  </pic:spPr>
                </pic:pic>
              </a:graphicData>
            </a:graphic>
          </wp:anchor>
        </w:drawing>
      </w:r>
    </w:p>
    <w:p>
      <w:pPr>
        <w:spacing w:after="0" w:line="20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1440815</wp:posOffset>
            </wp:positionH>
            <wp:positionV relativeFrom="paragraph">
              <wp:posOffset>-10160</wp:posOffset>
            </wp:positionV>
            <wp:extent cx="24574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57450" cy="8890"/>
                    </a:xfrm>
                    <a:prstGeom prst="rect">
                      <a:avLst/>
                    </a:prstGeom>
                    <a:noFill/>
                  </pic:spPr>
                </pic:pic>
              </a:graphicData>
            </a:graphic>
          </wp:anchor>
        </w:drawing>
      </w:r>
    </w:p>
    <w:p>
      <w:pPr>
        <w:spacing w:after="0" w:line="20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 Proposed Swing Line Advance:</w:t>
      </w:r>
    </w:p>
    <w:p>
      <w:pPr>
        <w:spacing w:after="0" w:line="170" w:lineRule="exact"/>
        <w:rPr>
          <w:sz w:val="20"/>
          <w:szCs w:val="20"/>
          <w:color w:val="auto"/>
        </w:rPr>
      </w:pPr>
    </w:p>
    <w:p>
      <w:pPr>
        <w:ind w:right="80" w:firstLine="444"/>
        <w:spacing w:after="0" w:line="273" w:lineRule="auto"/>
        <w:tabs>
          <w:tab w:leader="none" w:pos="73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representations and warranties contained in Section 4.01 of the Credit Agreement are true and correct in all material respects (except that any representation or warranty which is already qualified as to materiality or by reference to a Material Effect is true and correct in all respects), before and after giving effect to the Proposed Swing Line Advance and to the application of the proceeds therefrom, as though made on and as of such date, except to the extent such representations and warranties expressly relate to an earlier date, in which case such representations and warranties were true and correct in all material respects (except that any representation or warranty which is qualified as to materiality or by reference to a Material Adverse Effect were true and correct in all respects) as of such earlier date; and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0980"/>
          </w:cols>
          <w:pgMar w:left="440" w:top="274" w:right="479" w:bottom="1440" w:gutter="0" w:footer="0" w:header="0"/>
        </w:sectPr>
      </w:pPr>
    </w:p>
    <w:bookmarkStart w:id="113" w:name="page114"/>
    <w:bookmarkEnd w:id="113"/>
    <w:p>
      <w:pPr>
        <w:ind w:left="-380" w:firstLine="444"/>
        <w:spacing w:after="0" w:line="277" w:lineRule="auto"/>
        <w:tabs>
          <w:tab w:leader="none" w:pos="346"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event has occurred and is continuing, or would result from such Proposed Swing Line Advance or from the application of the proceeds therefrom, that constitutes a Default.</w:t>
      </w:r>
    </w:p>
    <w:p>
      <w:pPr>
        <w:spacing w:after="0" w:line="19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UGI UTILITIES, INC.</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-130810</wp:posOffset>
            </wp:positionV>
            <wp:extent cx="26587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B-2-3</w:t>
      </w:r>
    </w:p>
    <w:p>
      <w:pPr>
        <w:sectPr>
          <w:pgSz w:w="11900" w:h="16838" w:orient="portrait"/>
          <w:cols w:equalWidth="0" w:num="1">
            <w:col w:w="10280"/>
          </w:cols>
          <w:pgMar w:left="820" w:top="274" w:right="799" w:bottom="1440" w:gutter="0" w:footer="0" w:header="0"/>
        </w:sectPr>
      </w:pPr>
    </w:p>
    <w:bookmarkStart w:id="114" w:name="page115"/>
    <w:bookmarkEnd w:id="114"/>
    <w:p>
      <w:pPr>
        <w:ind w:left="91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 – FORM OF</w:t>
      </w:r>
    </w:p>
    <w:p>
      <w:pPr>
        <w:spacing w:after="0" w:line="35" w:lineRule="exact"/>
        <w:rPr>
          <w:sz w:val="20"/>
          <w:szCs w:val="20"/>
          <w:color w:val="auto"/>
        </w:rPr>
      </w:pPr>
    </w:p>
    <w:p>
      <w:pPr>
        <w:ind w:left="8240"/>
        <w:spacing w:after="0"/>
        <w:rPr>
          <w:sz w:val="20"/>
          <w:szCs w:val="20"/>
          <w:color w:val="auto"/>
        </w:rPr>
      </w:pPr>
      <w:r>
        <w:rPr>
          <w:rFonts w:ascii="Arial" w:cs="Arial" w:eastAsia="Arial" w:hAnsi="Arial"/>
          <w:sz w:val="17"/>
          <w:szCs w:val="17"/>
          <w:color w:val="auto"/>
        </w:rPr>
        <w:t>ASSIGNMENT AND ASSUMPTION</w:t>
      </w:r>
    </w:p>
    <w:p>
      <w:pPr>
        <w:spacing w:after="0" w:line="222"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This Assignment and Assumption (the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is dated as of the Effective Date set forth below and is entered into by and between </w:t>
      </w:r>
      <w:r>
        <w:rPr>
          <w:rFonts w:ascii="Arial" w:cs="Arial" w:eastAsia="Arial" w:hAnsi="Arial"/>
          <w:sz w:val="16"/>
          <w:szCs w:val="16"/>
          <w:b w:val="1"/>
          <w:bCs w:val="1"/>
          <w:color w:val="auto"/>
        </w:rPr>
        <w:t>[______________]</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Assignor</w:t>
      </w:r>
      <w:r>
        <w:rPr>
          <w:rFonts w:ascii="Arial" w:cs="Arial" w:eastAsia="Arial" w:hAnsi="Arial"/>
          <w:sz w:val="16"/>
          <w:szCs w:val="16"/>
          <w:color w:val="auto"/>
        </w:rPr>
        <w:t xml:space="preserve">”) and </w:t>
      </w:r>
      <w:r>
        <w:rPr>
          <w:rFonts w:ascii="Arial" w:cs="Arial" w:eastAsia="Arial" w:hAnsi="Arial"/>
          <w:sz w:val="16"/>
          <w:szCs w:val="16"/>
          <w:b w:val="1"/>
          <w:bCs w:val="1"/>
          <w:color w:val="auto"/>
        </w:rPr>
        <w:t>[_______________]</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Assignee</w:t>
      </w:r>
      <w:r>
        <w:rPr>
          <w:rFonts w:ascii="Arial" w:cs="Arial" w:eastAsia="Arial" w:hAnsi="Arial"/>
          <w:sz w:val="16"/>
          <w:szCs w:val="16"/>
          <w:color w:val="auto"/>
        </w:rPr>
        <w:t>”). Capitalized terms used but not defined herein shall have the</w:t>
      </w:r>
    </w:p>
    <w:p>
      <w:pPr>
        <w:ind w:right="140"/>
        <w:spacing w:after="0" w:line="302" w:lineRule="auto"/>
        <w:rPr>
          <w:sz w:val="20"/>
          <w:szCs w:val="20"/>
          <w:color w:val="auto"/>
        </w:rPr>
      </w:pPr>
      <w:r>
        <w:rPr>
          <w:rFonts w:ascii="Arial" w:cs="Arial" w:eastAsia="Arial" w:hAnsi="Arial"/>
          <w:sz w:val="16"/>
          <w:szCs w:val="16"/>
          <w:color w:val="auto"/>
        </w:rPr>
        <w:t>meanings given to them in the Credit Agreement identified below (as it may be amended, restated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55"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any letters of credit, guarantees, and swing 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Such sale and assignment is without recourse to the Assignor and, except as expressly provided in this Assignment and Assumption, without representation or warranty by the Assignor.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1.</w:t>
            </w:r>
          </w:p>
        </w:tc>
        <w:tc>
          <w:tcPr>
            <w:tcW w:w="1600" w:type="dxa"/>
            <w:vAlign w:val="bottom"/>
          </w:tcPr>
          <w:p>
            <w:pPr>
              <w:ind w:left="100"/>
              <w:spacing w:after="0"/>
              <w:rPr>
                <w:sz w:val="20"/>
                <w:szCs w:val="20"/>
                <w:color w:val="auto"/>
              </w:rPr>
            </w:pPr>
            <w:r>
              <w:rPr>
                <w:rFonts w:ascii="Arial" w:cs="Arial" w:eastAsia="Arial" w:hAnsi="Arial"/>
                <w:sz w:val="18"/>
                <w:szCs w:val="18"/>
                <w:color w:val="auto"/>
              </w:rPr>
              <w:t>Assignor:</w:t>
            </w:r>
          </w:p>
        </w:tc>
        <w:tc>
          <w:tcPr>
            <w:tcW w:w="8700" w:type="dxa"/>
            <w:vAlign w:val="bottom"/>
          </w:tcPr>
          <w:p>
            <w:pPr>
              <w:ind w:left="140"/>
              <w:spacing w:after="0"/>
              <w:rPr>
                <w:sz w:val="20"/>
                <w:szCs w:val="20"/>
                <w:color w:val="auto"/>
              </w:rPr>
            </w:pPr>
            <w:r>
              <w:rPr>
                <w:rFonts w:ascii="Arial" w:cs="Arial" w:eastAsia="Arial" w:hAnsi="Arial"/>
                <w:sz w:val="18"/>
                <w:szCs w:val="18"/>
                <w:color w:val="auto"/>
              </w:rPr>
              <w:t>______________________________</w:t>
            </w:r>
          </w:p>
        </w:tc>
      </w:tr>
      <w:tr>
        <w:trPr>
          <w:trHeight w:val="418"/>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2.</w:t>
            </w:r>
          </w:p>
        </w:tc>
        <w:tc>
          <w:tcPr>
            <w:tcW w:w="1600" w:type="dxa"/>
            <w:vAlign w:val="bottom"/>
          </w:tcPr>
          <w:p>
            <w:pPr>
              <w:ind w:left="100"/>
              <w:spacing w:after="0"/>
              <w:rPr>
                <w:sz w:val="20"/>
                <w:szCs w:val="20"/>
                <w:color w:val="auto"/>
              </w:rPr>
            </w:pPr>
            <w:r>
              <w:rPr>
                <w:rFonts w:ascii="Arial" w:cs="Arial" w:eastAsia="Arial" w:hAnsi="Arial"/>
                <w:sz w:val="18"/>
                <w:szCs w:val="18"/>
                <w:color w:val="auto"/>
              </w:rPr>
              <w:t>Assignee:</w:t>
            </w:r>
          </w:p>
        </w:tc>
        <w:tc>
          <w:tcPr>
            <w:tcW w:w="8700" w:type="dxa"/>
            <w:vAlign w:val="bottom"/>
          </w:tcPr>
          <w:p>
            <w:pPr>
              <w:ind w:left="140"/>
              <w:spacing w:after="0"/>
              <w:rPr>
                <w:sz w:val="20"/>
                <w:szCs w:val="20"/>
                <w:color w:val="auto"/>
              </w:rPr>
            </w:pPr>
            <w:r>
              <w:rPr>
                <w:rFonts w:ascii="Arial" w:cs="Arial" w:eastAsia="Arial" w:hAnsi="Arial"/>
                <w:sz w:val="18"/>
                <w:szCs w:val="18"/>
                <w:color w:val="auto"/>
              </w:rPr>
              <w:t>______________________________</w:t>
            </w:r>
          </w:p>
        </w:tc>
      </w:tr>
      <w:tr>
        <w:trPr>
          <w:trHeight w:val="230"/>
        </w:trPr>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[and is an Affiliate of [</w:t>
            </w:r>
            <w:r>
              <w:rPr>
                <w:rFonts w:ascii="Arial" w:cs="Arial" w:eastAsia="Arial" w:hAnsi="Arial"/>
                <w:sz w:val="18"/>
                <w:szCs w:val="18"/>
                <w:i w:val="1"/>
                <w:iCs w:val="1"/>
                <w:color w:val="auto"/>
              </w:rPr>
              <w:t>identify Bank</w:t>
            </w:r>
            <w:r>
              <w:rPr>
                <w:rFonts w:ascii="Arial" w:cs="Arial" w:eastAsia="Arial" w:hAnsi="Arial"/>
                <w:sz w:val="18"/>
                <w:szCs w:val="18"/>
                <w:color w:val="auto"/>
              </w:rPr>
              <w:t>]</w:t>
            </w:r>
            <w:r>
              <w:rPr>
                <w:rFonts w:ascii="Arial" w:cs="Arial" w:eastAsia="Arial" w:hAnsi="Arial"/>
                <w:sz w:val="15"/>
                <w:szCs w:val="15"/>
                <w:color w:val="auto"/>
              </w:rPr>
              <w:t>1</w:t>
            </w:r>
            <w:r>
              <w:rPr>
                <w:rFonts w:ascii="Arial" w:cs="Arial" w:eastAsia="Arial" w:hAnsi="Arial"/>
                <w:sz w:val="18"/>
                <w:szCs w:val="18"/>
                <w:color w:val="auto"/>
              </w:rPr>
              <w:t>]</w:t>
            </w:r>
          </w:p>
        </w:tc>
      </w:tr>
      <w:tr>
        <w:trPr>
          <w:trHeight w:val="432"/>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3.</w:t>
            </w:r>
          </w:p>
        </w:tc>
        <w:tc>
          <w:tcPr>
            <w:tcW w:w="1600" w:type="dxa"/>
            <w:vAlign w:val="bottom"/>
          </w:tcPr>
          <w:p>
            <w:pPr>
              <w:ind w:left="100"/>
              <w:spacing w:after="0"/>
              <w:rPr>
                <w:sz w:val="20"/>
                <w:szCs w:val="20"/>
                <w:color w:val="auto"/>
              </w:rPr>
            </w:pPr>
            <w:r>
              <w:rPr>
                <w:rFonts w:ascii="Arial" w:cs="Arial" w:eastAsia="Arial" w:hAnsi="Arial"/>
                <w:sz w:val="18"/>
                <w:szCs w:val="18"/>
                <w:color w:val="auto"/>
              </w:rPr>
              <w:t>Borrower:</w:t>
            </w:r>
          </w:p>
        </w:tc>
        <w:tc>
          <w:tcPr>
            <w:tcW w:w="8700" w:type="dxa"/>
            <w:vAlign w:val="bottom"/>
          </w:tcPr>
          <w:p>
            <w:pPr>
              <w:ind w:left="140"/>
              <w:spacing w:after="0"/>
              <w:rPr>
                <w:sz w:val="20"/>
                <w:szCs w:val="20"/>
                <w:color w:val="auto"/>
              </w:rPr>
            </w:pPr>
            <w:r>
              <w:rPr>
                <w:rFonts w:ascii="Arial" w:cs="Arial" w:eastAsia="Arial" w:hAnsi="Arial"/>
                <w:sz w:val="18"/>
                <w:szCs w:val="18"/>
                <w:color w:val="auto"/>
              </w:rPr>
              <w:t>UGI Utilities, Inc.</w:t>
            </w:r>
          </w:p>
        </w:tc>
      </w:tr>
      <w:tr>
        <w:trPr>
          <w:trHeight w:val="432"/>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4.</w:t>
            </w:r>
          </w:p>
        </w:tc>
        <w:tc>
          <w:tcPr>
            <w:tcW w:w="1600" w:type="dxa"/>
            <w:vAlign w:val="bottom"/>
          </w:tcPr>
          <w:p>
            <w:pPr>
              <w:ind w:left="100"/>
              <w:spacing w:after="0"/>
              <w:rPr>
                <w:sz w:val="20"/>
                <w:szCs w:val="20"/>
                <w:color w:val="auto"/>
              </w:rPr>
            </w:pPr>
            <w:r>
              <w:rPr>
                <w:rFonts w:ascii="Arial" w:cs="Arial" w:eastAsia="Arial" w:hAnsi="Arial"/>
                <w:sz w:val="18"/>
                <w:szCs w:val="18"/>
                <w:color w:val="auto"/>
              </w:rPr>
              <w:t>Agent:</w:t>
            </w:r>
          </w:p>
        </w:tc>
        <w:tc>
          <w:tcPr>
            <w:tcW w:w="8700" w:type="dxa"/>
            <w:vAlign w:val="bottom"/>
          </w:tcPr>
          <w:p>
            <w:pPr>
              <w:ind w:left="140"/>
              <w:spacing w:after="0"/>
              <w:rPr>
                <w:sz w:val="20"/>
                <w:szCs w:val="20"/>
                <w:color w:val="auto"/>
              </w:rPr>
            </w:pPr>
            <w:r>
              <w:rPr>
                <w:rFonts w:ascii="Arial" w:cs="Arial" w:eastAsia="Arial" w:hAnsi="Arial"/>
                <w:sz w:val="18"/>
                <w:szCs w:val="18"/>
                <w:color w:val="auto"/>
              </w:rPr>
              <w:t>PNC Bank, National Association, as the administrative agent under the Credit Agreement</w:t>
            </w:r>
          </w:p>
        </w:tc>
      </w:tr>
      <w:tr>
        <w:trPr>
          <w:trHeight w:val="418"/>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5.</w:t>
            </w:r>
          </w:p>
        </w:tc>
        <w:tc>
          <w:tcPr>
            <w:tcW w:w="1600" w:type="dxa"/>
            <w:vAlign w:val="bottom"/>
          </w:tcPr>
          <w:p>
            <w:pPr>
              <w:ind w:left="100"/>
              <w:spacing w:after="0"/>
              <w:rPr>
                <w:sz w:val="20"/>
                <w:szCs w:val="20"/>
                <w:color w:val="auto"/>
              </w:rPr>
            </w:pPr>
            <w:r>
              <w:rPr>
                <w:rFonts w:ascii="Arial" w:cs="Arial" w:eastAsia="Arial" w:hAnsi="Arial"/>
                <w:sz w:val="18"/>
                <w:szCs w:val="18"/>
                <w:color w:val="auto"/>
              </w:rPr>
              <w:t>Credit Agreement:</w:t>
            </w:r>
          </w:p>
        </w:tc>
        <w:tc>
          <w:tcPr>
            <w:tcW w:w="8700" w:type="dxa"/>
            <w:vAlign w:val="bottom"/>
          </w:tcPr>
          <w:p>
            <w:pPr>
              <w:ind w:left="140"/>
              <w:spacing w:after="0"/>
              <w:rPr>
                <w:sz w:val="20"/>
                <w:szCs w:val="20"/>
                <w:color w:val="auto"/>
              </w:rPr>
            </w:pPr>
            <w:r>
              <w:rPr>
                <w:rFonts w:ascii="Arial" w:cs="Arial" w:eastAsia="Arial" w:hAnsi="Arial"/>
                <w:sz w:val="18"/>
                <w:szCs w:val="18"/>
                <w:color w:val="auto"/>
                <w:w w:val="90"/>
              </w:rPr>
              <w:t>The Credit Agreement dated as of June 27, 2019 among UGI Utilities, Inc., the Lenders parties thereto and PNC Bank,</w:t>
            </w:r>
          </w:p>
        </w:tc>
      </w:tr>
      <w:tr>
        <w:trPr>
          <w:trHeight w:val="230"/>
        </w:trPr>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National Association, as administrative agent.</w:t>
            </w:r>
          </w:p>
        </w:tc>
      </w:tr>
    </w:tbl>
    <w:p>
      <w:pPr>
        <w:spacing w:after="0" w:line="202" w:lineRule="exact"/>
        <w:rPr>
          <w:sz w:val="20"/>
          <w:szCs w:val="20"/>
          <w:color w:val="auto"/>
        </w:rPr>
      </w:pPr>
    </w:p>
    <w:p>
      <w:pPr>
        <w:ind w:left="340" w:hanging="336"/>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6946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8" w:lineRule="exact"/>
        <w:rPr>
          <w:sz w:val="20"/>
          <w:szCs w:val="20"/>
          <w:color w:val="auto"/>
        </w:rPr>
      </w:pPr>
    </w:p>
    <w:p>
      <w:pPr>
        <w:ind w:left="220" w:hanging="216"/>
        <w:spacing w:after="0"/>
        <w:tabs>
          <w:tab w:leader="none" w:pos="220" w:val="left"/>
        </w:tabs>
        <w:numPr>
          <w:ilvl w:val="0"/>
          <w:numId w:val="119"/>
        </w:numPr>
        <w:rPr>
          <w:rFonts w:ascii="Arial" w:cs="Arial" w:eastAsia="Arial" w:hAnsi="Arial"/>
          <w:sz w:val="15"/>
          <w:szCs w:val="15"/>
          <w:color w:val="auto"/>
        </w:rPr>
      </w:pPr>
      <w:r>
        <w:rPr>
          <w:rFonts w:ascii="Arial" w:cs="Arial" w:eastAsia="Arial" w:hAnsi="Arial"/>
          <w:sz w:val="18"/>
          <w:szCs w:val="18"/>
          <w:color w:val="auto"/>
        </w:rPr>
        <w:t>Select as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74" w:right="4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61"/>
        </w:trPr>
        <w:tc>
          <w:tcPr>
            <w:tcW w:w="4380" w:type="dxa"/>
            <w:vAlign w:val="bottom"/>
            <w:gridSpan w:val="4"/>
            <w:vMerge w:val="restart"/>
          </w:tcPr>
          <w:p>
            <w:pPr>
              <w:ind w:left="880"/>
              <w:spacing w:after="0"/>
              <w:rPr>
                <w:sz w:val="20"/>
                <w:szCs w:val="20"/>
                <w:color w:val="auto"/>
              </w:rPr>
            </w:pPr>
            <w:r>
              <w:rPr>
                <w:rFonts w:ascii="Arial" w:cs="Arial" w:eastAsia="Arial" w:hAnsi="Arial"/>
                <w:sz w:val="14"/>
                <w:szCs w:val="14"/>
                <w:color w:val="auto"/>
              </w:rPr>
              <w:t>Aggregate Amount of</w:t>
            </w: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color w:val="auto"/>
                <w:w w:val="86"/>
              </w:rPr>
              <w:t>Percentage</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380" w:type="dxa"/>
            <w:vAlign w:val="bottom"/>
            <w:gridSpan w:val="4"/>
            <w:vMerge w:val="continue"/>
          </w:tcPr>
          <w:p>
            <w:pPr>
              <w:spacing w:after="0"/>
              <w:rPr>
                <w:sz w:val="12"/>
                <w:szCs w:val="12"/>
                <w:color w:val="auto"/>
              </w:rPr>
            </w:pPr>
          </w:p>
        </w:tc>
        <w:tc>
          <w:tcPr>
            <w:tcW w:w="1240" w:type="dxa"/>
            <w:vAlign w:val="bottom"/>
          </w:tcPr>
          <w:p>
            <w:pPr>
              <w:spacing w:after="0"/>
              <w:rPr>
                <w:sz w:val="12"/>
                <w:szCs w:val="12"/>
                <w:color w:val="auto"/>
              </w:rPr>
            </w:pPr>
          </w:p>
        </w:tc>
        <w:tc>
          <w:tcPr>
            <w:tcW w:w="2060" w:type="dxa"/>
            <w:vAlign w:val="bottom"/>
            <w:gridSpan w:val="2"/>
          </w:tcPr>
          <w:p>
            <w:pPr>
              <w:ind w:left="380"/>
              <w:spacing w:after="0" w:line="141" w:lineRule="exact"/>
              <w:rPr>
                <w:sz w:val="20"/>
                <w:szCs w:val="20"/>
                <w:color w:val="auto"/>
              </w:rPr>
            </w:pPr>
            <w:r>
              <w:rPr>
                <w:rFonts w:ascii="Arial" w:cs="Arial" w:eastAsia="Arial" w:hAnsi="Arial"/>
                <w:sz w:val="14"/>
                <w:szCs w:val="14"/>
                <w:color w:val="auto"/>
              </w:rPr>
              <w:t>Amount of</w:t>
            </w:r>
          </w:p>
        </w:tc>
        <w:tc>
          <w:tcPr>
            <w:tcW w:w="1500" w:type="dxa"/>
            <w:vAlign w:val="bottom"/>
            <w:gridSpan w:val="2"/>
          </w:tcPr>
          <w:p>
            <w:pPr>
              <w:jc w:val="center"/>
              <w:ind w:right="680"/>
              <w:spacing w:after="0" w:line="141" w:lineRule="exact"/>
              <w:rPr>
                <w:sz w:val="20"/>
                <w:szCs w:val="20"/>
                <w:color w:val="auto"/>
              </w:rPr>
            </w:pPr>
            <w:r>
              <w:rPr>
                <w:rFonts w:ascii="Arial" w:cs="Arial" w:eastAsia="Arial" w:hAnsi="Arial"/>
                <w:sz w:val="14"/>
                <w:szCs w:val="14"/>
                <w:color w:val="auto"/>
                <w:w w:val="95"/>
              </w:rPr>
              <w:t>Assigned of</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4"/>
          </w:tcPr>
          <w:p>
            <w:pPr>
              <w:ind w:left="880"/>
              <w:spacing w:after="0" w:line="149" w:lineRule="exact"/>
              <w:rPr>
                <w:sz w:val="20"/>
                <w:szCs w:val="20"/>
                <w:color w:val="auto"/>
              </w:rPr>
            </w:pPr>
            <w:r>
              <w:rPr>
                <w:rFonts w:ascii="Arial" w:cs="Arial" w:eastAsia="Arial" w:hAnsi="Arial"/>
                <w:sz w:val="14"/>
                <w:szCs w:val="14"/>
                <w:color w:val="auto"/>
              </w:rPr>
              <w:t>Commitment/Advances</w:t>
            </w:r>
          </w:p>
        </w:tc>
        <w:tc>
          <w:tcPr>
            <w:tcW w:w="124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Commitment/Advances</w:t>
            </w:r>
          </w:p>
        </w:tc>
        <w:tc>
          <w:tcPr>
            <w:tcW w:w="15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w w:val="93"/>
              </w:rPr>
              <w:t>Commitment/</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80" w:type="dxa"/>
            <w:vAlign w:val="bottom"/>
            <w:gridSpan w:val="4"/>
          </w:tcPr>
          <w:p>
            <w:pPr>
              <w:ind w:left="880"/>
              <w:spacing w:after="0"/>
              <w:rPr>
                <w:sz w:val="20"/>
                <w:szCs w:val="20"/>
                <w:color w:val="auto"/>
              </w:rPr>
            </w:pPr>
            <w:r>
              <w:rPr>
                <w:rFonts w:ascii="Arial" w:cs="Arial" w:eastAsia="Arial" w:hAnsi="Arial"/>
                <w:sz w:val="14"/>
                <w:szCs w:val="14"/>
                <w:color w:val="auto"/>
              </w:rPr>
              <w:t>for all Lenders</w:t>
            </w:r>
            <w:r>
              <w:rPr>
                <w:rFonts w:ascii="Arial" w:cs="Arial" w:eastAsia="Arial" w:hAnsi="Arial"/>
                <w:sz w:val="12"/>
                <w:szCs w:val="12"/>
                <w:color w:val="auto"/>
              </w:rPr>
              <w:t>*</w:t>
            </w:r>
          </w:p>
        </w:tc>
        <w:tc>
          <w:tcPr>
            <w:tcW w:w="1240" w:type="dxa"/>
            <w:vAlign w:val="bottom"/>
          </w:tcPr>
          <w:p>
            <w:pPr>
              <w:spacing w:after="0"/>
              <w:rPr>
                <w:sz w:val="15"/>
                <w:szCs w:val="15"/>
                <w:color w:val="auto"/>
              </w:rPr>
            </w:pPr>
          </w:p>
        </w:tc>
        <w:tc>
          <w:tcPr>
            <w:tcW w:w="2060" w:type="dxa"/>
            <w:vAlign w:val="bottom"/>
            <w:gridSpan w:val="2"/>
          </w:tcPr>
          <w:p>
            <w:pPr>
              <w:ind w:left="380"/>
              <w:spacing w:after="0"/>
              <w:rPr>
                <w:sz w:val="20"/>
                <w:szCs w:val="20"/>
                <w:color w:val="auto"/>
              </w:rPr>
            </w:pPr>
            <w:r>
              <w:rPr>
                <w:rFonts w:ascii="Arial" w:cs="Arial" w:eastAsia="Arial" w:hAnsi="Arial"/>
                <w:sz w:val="14"/>
                <w:szCs w:val="14"/>
                <w:color w:val="auto"/>
              </w:rPr>
              <w:t>Assigned</w:t>
            </w:r>
            <w:r>
              <w:rPr>
                <w:rFonts w:ascii="Arial" w:cs="Arial" w:eastAsia="Arial" w:hAnsi="Arial"/>
                <w:sz w:val="12"/>
                <w:szCs w:val="12"/>
                <w:color w:val="auto"/>
              </w:rPr>
              <w:t>*</w:t>
            </w: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color w:val="auto"/>
                <w:w w:val="90"/>
              </w:rPr>
              <w:t>Advances</w:t>
            </w:r>
            <w:r>
              <w:rPr>
                <w:rFonts w:ascii="Arial" w:cs="Arial" w:eastAsia="Arial" w:hAnsi="Arial"/>
                <w:sz w:val="12"/>
                <w:szCs w:val="12"/>
                <w:color w:val="auto"/>
                <w:w w:val="90"/>
              </w:rPr>
              <w:t>2</w:t>
            </w:r>
          </w:p>
        </w:tc>
        <w:tc>
          <w:tcPr>
            <w:tcW w:w="960" w:type="dxa"/>
            <w:vAlign w:val="bottom"/>
            <w:gridSpan w:val="2"/>
          </w:tcPr>
          <w:p>
            <w:pPr>
              <w:spacing w:after="0"/>
              <w:rPr>
                <w:sz w:val="20"/>
                <w:szCs w:val="20"/>
                <w:color w:val="auto"/>
              </w:rPr>
            </w:pPr>
            <w:r>
              <w:rPr>
                <w:rFonts w:ascii="Arial" w:cs="Arial" w:eastAsia="Arial" w:hAnsi="Arial"/>
                <w:sz w:val="14"/>
                <w:szCs w:val="14"/>
                <w:color w:val="auto"/>
                <w:w w:val="97"/>
              </w:rPr>
              <w:t>CUSIP Number</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2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62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[7.   Trade Date:</w:t>
            </w:r>
          </w:p>
        </w:tc>
        <w:tc>
          <w:tcPr>
            <w:tcW w:w="2840" w:type="dxa"/>
            <w:vAlign w:val="bottom"/>
            <w:gridSpan w:val="2"/>
          </w:tcPr>
          <w:p>
            <w:pPr>
              <w:jc w:val="right"/>
              <w:ind w:right="1240"/>
              <w:spacing w:after="0"/>
              <w:rPr>
                <w:sz w:val="20"/>
                <w:szCs w:val="20"/>
                <w:color w:val="auto"/>
              </w:rPr>
            </w:pPr>
            <w:r>
              <w:rPr>
                <w:rFonts w:ascii="Arial" w:cs="Arial" w:eastAsia="Arial" w:hAnsi="Arial"/>
                <w:sz w:val="18"/>
                <w:szCs w:val="18"/>
                <w:b w:val="1"/>
                <w:bCs w:val="1"/>
                <w:color w:val="auto"/>
              </w:rPr>
              <w:t>______________]</w:t>
            </w:r>
            <w:r>
              <w:rPr>
                <w:rFonts w:ascii="Arial" w:cs="Arial" w:eastAsia="Arial" w:hAnsi="Arial"/>
                <w:sz w:val="15"/>
                <w:szCs w:val="15"/>
                <w:b w:val="1"/>
                <w:bCs w:val="1"/>
                <w:color w:val="auto"/>
              </w:rPr>
              <w:t>3</w:t>
            </w: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1260" w:val="left"/>
        </w:tabs>
        <w:rPr>
          <w:sz w:val="20"/>
          <w:szCs w:val="20"/>
          <w:color w:val="auto"/>
        </w:rPr>
      </w:pPr>
      <w:r>
        <w:rPr>
          <w:rFonts w:ascii="Arial" w:cs="Arial" w:eastAsia="Arial" w:hAnsi="Arial"/>
          <w:sz w:val="18"/>
          <w:szCs w:val="18"/>
          <w:color w:val="auto"/>
        </w:rPr>
        <w:t>Effective Date:</w:t>
      </w:r>
      <w:r>
        <w:rPr>
          <w:sz w:val="20"/>
          <w:szCs w:val="20"/>
          <w:color w:val="auto"/>
        </w:rPr>
        <w:tab/>
      </w:r>
      <w:r>
        <w:rPr>
          <w:rFonts w:ascii="Arial" w:cs="Arial" w:eastAsia="Arial" w:hAnsi="Arial"/>
          <w:sz w:val="17"/>
          <w:szCs w:val="17"/>
          <w:color w:val="auto"/>
        </w:rPr>
        <w:t xml:space="preserve">_____________ ___, 20___ </w:t>
      </w:r>
      <w:r>
        <w:rPr>
          <w:rFonts w:ascii="Arial" w:cs="Arial" w:eastAsia="Arial" w:hAnsi="Arial"/>
          <w:sz w:val="17"/>
          <w:szCs w:val="17"/>
          <w:b w:val="1"/>
          <w:bCs w:val="1"/>
          <w:color w:val="auto"/>
        </w:rPr>
        <w:t>[TO BE INSERTED BY AGENT AND WHICH SHALL BE THE EFFECTIVE DATE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RECORDATION OF TRANSFER IN THE REGISTER THEREFOR.]</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[Signatures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6946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8" w:lineRule="exact"/>
        <w:rPr>
          <w:sz w:val="20"/>
          <w:szCs w:val="20"/>
          <w:color w:val="auto"/>
        </w:rPr>
      </w:pPr>
    </w:p>
    <w:p>
      <w:pPr>
        <w:ind w:left="440" w:hanging="436"/>
        <w:spacing w:after="0" w:line="258" w:lineRule="auto"/>
        <w:tabs>
          <w:tab w:leader="none" w:pos="440" w:val="left"/>
        </w:tabs>
        <w:numPr>
          <w:ilvl w:val="0"/>
          <w:numId w:val="120"/>
        </w:numPr>
        <w:rPr>
          <w:rFonts w:ascii="Arial" w:cs="Arial" w:eastAsia="Arial" w:hAnsi="Arial"/>
          <w:sz w:val="15"/>
          <w:szCs w:val="15"/>
          <w:color w:val="auto"/>
        </w:rPr>
      </w:pPr>
      <w:r>
        <w:rPr>
          <w:rFonts w:ascii="Arial" w:cs="Arial" w:eastAsia="Arial" w:hAnsi="Arial"/>
          <w:sz w:val="18"/>
          <w:szCs w:val="18"/>
          <w:color w:val="auto"/>
        </w:rPr>
        <w:t>Amount to be adjusted by the counterparties to take into account any payments or prepayments made between the Trade Date and the Effective Date.</w:t>
      </w:r>
    </w:p>
    <w:p>
      <w:pPr>
        <w:ind w:left="440" w:hanging="436"/>
        <w:spacing w:after="0"/>
        <w:tabs>
          <w:tab w:leader="none" w:pos="440" w:val="left"/>
        </w:tabs>
        <w:numPr>
          <w:ilvl w:val="0"/>
          <w:numId w:val="121"/>
        </w:numPr>
        <w:rPr>
          <w:rFonts w:ascii="Arial" w:cs="Arial" w:eastAsia="Arial" w:hAnsi="Arial"/>
          <w:sz w:val="15"/>
          <w:szCs w:val="15"/>
          <w:color w:val="auto"/>
        </w:rPr>
      </w:pPr>
      <w:r>
        <w:rPr>
          <w:rFonts w:ascii="Arial" w:cs="Arial" w:eastAsia="Arial" w:hAnsi="Arial"/>
          <w:sz w:val="18"/>
          <w:szCs w:val="18"/>
          <w:color w:val="auto"/>
        </w:rPr>
        <w:t>Set forth, to at least 9 decimals, as a percentage of the Commitment/Advances of all Lenders thereunder</w:t>
      </w:r>
    </w:p>
    <w:p>
      <w:pPr>
        <w:spacing w:after="0" w:line="9" w:lineRule="exact"/>
        <w:rPr>
          <w:sz w:val="20"/>
          <w:szCs w:val="20"/>
          <w:color w:val="auto"/>
        </w:rPr>
      </w:pPr>
    </w:p>
    <w:p>
      <w:pPr>
        <w:jc w:val="center"/>
        <w:ind w:left="5380" w:right="500" w:hanging="5376"/>
        <w:spacing w:after="0" w:line="434" w:lineRule="auto"/>
        <w:tabs>
          <w:tab w:leader="none" w:pos="437" w:val="left"/>
        </w:tabs>
        <w:numPr>
          <w:ilvl w:val="0"/>
          <w:numId w:val="122"/>
        </w:numPr>
        <w:rPr>
          <w:rFonts w:ascii="Arial" w:cs="Arial" w:eastAsia="Arial" w:hAnsi="Arial"/>
          <w:sz w:val="15"/>
          <w:szCs w:val="15"/>
          <w:color w:val="auto"/>
        </w:rPr>
      </w:pPr>
      <w:r>
        <w:rPr>
          <w:rFonts w:ascii="Arial" w:cs="Arial" w:eastAsia="Arial" w:hAnsi="Arial"/>
          <w:sz w:val="18"/>
          <w:szCs w:val="18"/>
          <w:color w:val="auto"/>
        </w:rPr>
        <w:t>To be completed if the Assignor and the Assignee intend that the minimum assignment amount is to be determined as of the Trade Date. C-2</w:t>
      </w:r>
    </w:p>
    <w:p>
      <w:pPr>
        <w:sectPr>
          <w:pgSz w:w="11900" w:h="16838" w:orient="portrait"/>
          <w:cols w:equalWidth="0" w:num="1">
            <w:col w:w="10740"/>
          </w:cols>
          <w:pgMar w:left="440" w:top="257" w:right="71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set forth in this Assignment and Assumption are hereby agreed to:</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ASSIGNOR</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[_____________________]</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[______________________]</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15"/>
          <w:szCs w:val="15"/>
          <w:color w:val="auto"/>
        </w:rPr>
        <w:t>4</w:t>
      </w:r>
      <w:r>
        <w:rPr>
          <w:rFonts w:ascii="Arial" w:cs="Arial" w:eastAsia="Arial" w:hAnsi="Arial"/>
          <w:sz w:val="18"/>
          <w:szCs w:val="18"/>
          <w:color w:val="auto"/>
        </w:rPr>
        <w:t xml:space="preserve"> Accepted: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BANK, NATIONAL ASSOCIATION,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Agent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5"/>
          <w:szCs w:val="15"/>
          <w:color w:val="auto"/>
        </w:rPr>
        <w:t>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Relevant Party]]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6946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440" w:hanging="436"/>
        <w:spacing w:after="0"/>
        <w:tabs>
          <w:tab w:leader="none" w:pos="440" w:val="left"/>
        </w:tabs>
        <w:numPr>
          <w:ilvl w:val="0"/>
          <w:numId w:val="123"/>
        </w:numPr>
        <w:rPr>
          <w:rFonts w:ascii="Arial" w:cs="Arial" w:eastAsia="Arial" w:hAnsi="Arial"/>
          <w:sz w:val="15"/>
          <w:szCs w:val="15"/>
          <w:color w:val="auto"/>
        </w:rPr>
      </w:pPr>
      <w:r>
        <w:rPr>
          <w:rFonts w:ascii="Arial" w:cs="Arial" w:eastAsia="Arial" w:hAnsi="Arial"/>
          <w:sz w:val="18"/>
          <w:szCs w:val="18"/>
          <w:color w:val="auto"/>
        </w:rPr>
        <w:t>To be added only if the consent of the Agent is required by the terms of the Credit Agreement.</w:t>
      </w:r>
    </w:p>
    <w:p>
      <w:pPr>
        <w:spacing w:after="0" w:line="22" w:lineRule="exact"/>
        <w:rPr>
          <w:sz w:val="20"/>
          <w:szCs w:val="20"/>
          <w:color w:val="auto"/>
        </w:rPr>
      </w:pPr>
    </w:p>
    <w:p>
      <w:pPr>
        <w:ind w:left="440" w:hanging="436"/>
        <w:spacing w:after="0" w:line="262" w:lineRule="auto"/>
        <w:tabs>
          <w:tab w:leader="none" w:pos="440" w:val="left"/>
        </w:tabs>
        <w:numPr>
          <w:ilvl w:val="0"/>
          <w:numId w:val="124"/>
        </w:numPr>
        <w:rPr>
          <w:rFonts w:ascii="Arial" w:cs="Arial" w:eastAsia="Arial" w:hAnsi="Arial"/>
          <w:sz w:val="15"/>
          <w:szCs w:val="15"/>
          <w:color w:val="auto"/>
        </w:rPr>
      </w:pPr>
      <w:r>
        <w:rPr>
          <w:rFonts w:ascii="Arial" w:cs="Arial" w:eastAsia="Arial" w:hAnsi="Arial"/>
          <w:sz w:val="18"/>
          <w:szCs w:val="18"/>
          <w:color w:val="auto"/>
        </w:rPr>
        <w:t>To be added where the consent of the Borrower and/or other parties (e.g. Swing Line Lender/the Issuing Lender) is required by the terms of the Credit Agreement.</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0760"/>
          </w:cols>
          <w:pgMar w:left="440" w:top="274" w:right="69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11" w:lineRule="exact"/>
        <w:rPr>
          <w:sz w:val="20"/>
          <w:szCs w:val="20"/>
          <w:color w:val="auto"/>
        </w:rPr>
      </w:pPr>
    </w:p>
    <w:p>
      <w:pPr>
        <w:ind w:left="1060" w:hanging="175"/>
        <w:spacing w:after="0"/>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sz w:val="20"/>
          <w:szCs w:val="20"/>
          <w:color w:val="auto"/>
        </w:rPr>
      </w:pPr>
    </w:p>
    <w:p>
      <w:pPr>
        <w:ind w:right="20" w:firstLine="881"/>
        <w:spacing w:after="0" w:line="29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59" w:lineRule="exact"/>
        <w:rPr>
          <w:sz w:val="20"/>
          <w:szCs w:val="20"/>
          <w:color w:val="auto"/>
        </w:rPr>
      </w:pPr>
    </w:p>
    <w:p>
      <w:pPr>
        <w:ind w:firstLine="881"/>
        <w:spacing w:after="0" w:line="28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requirements of an Eligible Assignee under the Credit Agreement (subject to receipt of such consents as may be required under the Credit Agreement),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Agent or any other Lender, and</w:t>
      </w:r>
    </w:p>
    <w:p>
      <w:pPr>
        <w:spacing w:after="0" w:line="1" w:lineRule="exact"/>
        <w:rPr>
          <w:sz w:val="20"/>
          <w:szCs w:val="20"/>
          <w:color w:val="auto"/>
        </w:rPr>
      </w:pPr>
    </w:p>
    <w:p>
      <w:pPr>
        <w:ind w:right="40" w:firstLine="4"/>
        <w:spacing w:after="0" w:line="253" w:lineRule="auto"/>
        <w:tabs>
          <w:tab w:leader="none" w:pos="2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it is a Foreign Lender, attached to the Assignment is any documentation required to be delivered by it pursuant to the terms of the Credit Agreement, duly completed and executed by the Assignee; and (b) agrees that (i) it will, independently and without reliance on the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83" w:lineRule="exact"/>
        <w:rPr>
          <w:rFonts w:ascii="Arial" w:cs="Arial" w:eastAsia="Arial" w:hAnsi="Arial"/>
          <w:sz w:val="18"/>
          <w:szCs w:val="18"/>
          <w:color w:val="auto"/>
        </w:rPr>
      </w:pPr>
    </w:p>
    <w:p>
      <w:pPr>
        <w:ind w:right="20" w:firstLine="885"/>
        <w:spacing w:after="0" w:line="264" w:lineRule="auto"/>
        <w:tabs>
          <w:tab w:leader="none" w:pos="1061"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Agent shall make all payments in respect of the Assigned Interest (including payments of principal, interest, fees and other amounts) to the Assignee, whether for amounts which have accrued to the Effective Date or for amounts which have accrued from and after the Effective Date.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1-1</w:t>
      </w:r>
    </w:p>
    <w:p>
      <w:pPr>
        <w:sectPr>
          <w:pgSz w:w="11900" w:h="16838" w:orient="portrait"/>
          <w:cols w:equalWidth="0" w:num="1">
            <w:col w:w="11020"/>
          </w:cols>
          <w:pgMar w:left="440" w:top="274" w:right="439" w:bottom="1440" w:gutter="0" w:footer="0" w:header="0"/>
        </w:sectPr>
      </w:pPr>
    </w:p>
    <w:bookmarkStart w:id="118" w:name="page119"/>
    <w:bookmarkEnd w:id="118"/>
    <w:p>
      <w:pPr>
        <w:ind w:left="-20" w:firstLine="885"/>
        <w:spacing w:after="0" w:line="257" w:lineRule="auto"/>
        <w:tabs>
          <w:tab w:leader="none" w:pos="1041"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or other electronic transmission shall be effective as delivery of a manually executed counterpart of this Assignment and Assumption. This Assignment and Assumption shall be governed by, and construed in accordance with, the law of the State of New York.</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1-2</w:t>
      </w:r>
    </w:p>
    <w:p>
      <w:pPr>
        <w:sectPr>
          <w:pgSz w:w="11900" w:h="16838" w:orient="portrait"/>
          <w:cols w:equalWidth="0" w:num="1">
            <w:col w:w="11000"/>
          </w:cols>
          <w:pgMar w:left="460" w:top="274" w:right="4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D-1 – FORM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OPINION OF COUNSEL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THE BORROWER</w:t>
      </w:r>
    </w:p>
    <w:p>
      <w:pPr>
        <w:spacing w:after="0" w:line="14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D-1-1</w:t>
      </w:r>
    </w:p>
    <w:p>
      <w:pPr>
        <w:sectPr>
          <w:pgSz w:w="11900" w:h="16838" w:orient="portrait"/>
          <w:cols w:equalWidth="0" w:num="1">
            <w:col w:w="10020"/>
          </w:cols>
          <w:pgMar w:left="1440" w:top="274" w:right="4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June 27,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lenders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agent for the lenders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Firstside Center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500 First Avenue, 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Pittsburgh, PA 15219</w:t>
      </w:r>
    </w:p>
    <w:p>
      <w:pPr>
        <w:spacing w:after="0" w:line="103" w:lineRule="exact"/>
        <w:rPr>
          <w:sz w:val="20"/>
          <w:szCs w:val="20"/>
          <w:color w:val="auto"/>
        </w:rPr>
      </w:pPr>
    </w:p>
    <w:p>
      <w:pPr>
        <w:ind w:left="880" w:right="200"/>
        <w:spacing w:after="0" w:line="277" w:lineRule="auto"/>
        <w:rPr>
          <w:sz w:val="20"/>
          <w:szCs w:val="20"/>
          <w:color w:val="auto"/>
        </w:rPr>
      </w:pPr>
      <w:r>
        <w:rPr>
          <w:rFonts w:ascii="Arial" w:cs="Arial" w:eastAsia="Arial" w:hAnsi="Arial"/>
          <w:sz w:val="18"/>
          <w:szCs w:val="18"/>
          <w:color w:val="auto"/>
        </w:rPr>
        <w:t>Re: Credit Agreement dated as of June 27, 2019 among UGI Utilities, Inc., a Pennsylvania corporation, the lenders party thereto and PNC Bank, National Association, as administrative agent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We have acted as special counsel to UGI Utilities, Inc., a Pennsylvania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in connection with (i) that certain Credit Agreement, dated as of June 27, 2019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among the Borrower, the lenders from time to time party thereto (such lenders as of the date hereof identified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PNC Bank, National Association, as the administrative agent (the “</w:t>
      </w:r>
      <w:r>
        <w:rPr>
          <w:rFonts w:ascii="Arial" w:cs="Arial" w:eastAsia="Arial" w:hAnsi="Arial"/>
          <w:sz w:val="18"/>
          <w:szCs w:val="18"/>
          <w:u w:val="single" w:color="auto"/>
          <w:color w:val="auto"/>
        </w:rPr>
        <w:t>Agent</w:t>
      </w:r>
      <w:r>
        <w:rPr>
          <w:rFonts w:ascii="Arial" w:cs="Arial" w:eastAsia="Arial" w:hAnsi="Arial"/>
          <w:sz w:val="18"/>
          <w:szCs w:val="18"/>
          <w:color w:val="auto"/>
        </w:rPr>
        <w:t>”), and (ii) the other Loan Documents (as defined below).</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letter is furnished pursuant to Section 3.01(g)(vi)(x) of the Credit Agreement.</w:t>
      </w:r>
    </w:p>
    <w:p>
      <w:pPr>
        <w:spacing w:after="0" w:line="225"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except where a specified fact confirmation procedure is stated to have been performed (in which case we have with your consent performed the stated procedure). We have examined, among other things, the following:</w:t>
      </w:r>
    </w:p>
    <w:p>
      <w:pPr>
        <w:spacing w:after="0" w:line="73" w:lineRule="exact"/>
        <w:rPr>
          <w:sz w:val="20"/>
          <w:szCs w:val="20"/>
          <w:color w:val="auto"/>
        </w:rPr>
      </w:pPr>
    </w:p>
    <w:p>
      <w:pPr>
        <w:ind w:left="1680" w:hanging="244"/>
        <w:spacing w:after="0"/>
        <w:tabs>
          <w:tab w:leader="none" w:pos="1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Credit Agreement; and</w:t>
      </w:r>
    </w:p>
    <w:p>
      <w:pPr>
        <w:spacing w:after="0" w:line="117" w:lineRule="exact"/>
        <w:rPr>
          <w:rFonts w:ascii="Arial" w:cs="Arial" w:eastAsia="Arial" w:hAnsi="Arial"/>
          <w:sz w:val="18"/>
          <w:szCs w:val="18"/>
          <w:color w:val="auto"/>
        </w:rPr>
      </w:pPr>
    </w:p>
    <w:p>
      <w:pPr>
        <w:ind w:left="1700" w:hanging="264"/>
        <w:spacing w:after="0"/>
        <w:tabs>
          <w:tab w:leader="none" w:pos="17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promissory notes listed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documents described in subsections (a) and (b) above are referred to herein collectively as the “</w:t>
      </w:r>
      <w:r>
        <w:rPr>
          <w:rFonts w:ascii="Arial" w:cs="Arial" w:eastAsia="Arial" w:hAnsi="Arial"/>
          <w:sz w:val="18"/>
          <w:szCs w:val="18"/>
          <w:u w:val="single" w:color="auto"/>
          <w:color w:val="auto"/>
        </w:rPr>
        <w:t>Loan Documents</w:t>
      </w:r>
      <w:r>
        <w:rPr>
          <w:rFonts w:ascii="Arial" w:cs="Arial" w:eastAsia="Arial" w:hAnsi="Arial"/>
          <w:sz w:val="18"/>
          <w:szCs w:val="18"/>
          <w:color w:val="auto"/>
        </w:rPr>
        <w:t>.”</w:t>
      </w:r>
    </w:p>
    <w:p>
      <w:pPr>
        <w:spacing w:after="0" w:line="225" w:lineRule="exact"/>
        <w:rPr>
          <w:sz w:val="20"/>
          <w:szCs w:val="20"/>
          <w:color w:val="auto"/>
        </w:rPr>
      </w:pPr>
    </w:p>
    <w:p>
      <w:pPr>
        <w:ind w:right="320" w:firstLine="881"/>
        <w:spacing w:after="0" w:line="264" w:lineRule="auto"/>
        <w:rPr>
          <w:sz w:val="20"/>
          <w:szCs w:val="20"/>
          <w:color w:val="auto"/>
        </w:rPr>
      </w:pPr>
      <w:r>
        <w:rPr>
          <w:rFonts w:ascii="Arial" w:cs="Arial" w:eastAsia="Arial" w:hAnsi="Arial"/>
          <w:sz w:val="18"/>
          <w:szCs w:val="18"/>
          <w:color w:val="auto"/>
        </w:rPr>
        <w:t>Except as otherwise stated herein, as to factual matters we have, with your consent, relied upon the foregoing, and upon oral and written statements and representations of officers and other representatives of the Borrower and others, including the representations and warranties of the Borrower in the Loan Documents. We have not independently verified such factual matters.</w:t>
      </w:r>
    </w:p>
    <w:p>
      <w:pPr>
        <w:sectPr>
          <w:pgSz w:w="11900" w:h="16838" w:orient="portrait"/>
          <w:cols w:equalWidth="0" w:num="1">
            <w:col w:w="11020"/>
          </w:cols>
          <w:pgMar w:left="440" w:top="274" w:right="439" w:bottom="1440" w:gutter="0" w:footer="0" w:header="0"/>
        </w:sectPr>
      </w:pPr>
    </w:p>
    <w:bookmarkStart w:id="121" w:name="page122"/>
    <w:bookmarkEnd w:id="121"/>
    <w:p>
      <w:pPr>
        <w:jc w:val="both"/>
        <w:ind w:right="60"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our examination, we have assumed the genuineness of all signatures, including any endorsements, the legal capacity and competency of all natural persons, the authenticity of all documents submitted to us as originals, the conformity to original documents of all documents submitted to us as facsimile, electronic, certified or photostatic copies and the authenticity of the originals of such copies.</w:t>
      </w:r>
    </w:p>
    <w:p>
      <w:pPr>
        <w:spacing w:after="0" w:line="181" w:lineRule="exact"/>
        <w:rPr>
          <w:sz w:val="20"/>
          <w:szCs w:val="20"/>
          <w:color w:val="auto"/>
        </w:rPr>
      </w:pPr>
    </w:p>
    <w:p>
      <w:pPr>
        <w:ind w:right="240" w:firstLine="881"/>
        <w:spacing w:after="0" w:line="264" w:lineRule="auto"/>
        <w:rPr>
          <w:sz w:val="20"/>
          <w:szCs w:val="20"/>
          <w:color w:val="auto"/>
        </w:rPr>
      </w:pPr>
      <w:r>
        <w:rPr>
          <w:rFonts w:ascii="Arial" w:cs="Arial" w:eastAsia="Arial" w:hAnsi="Arial"/>
          <w:sz w:val="18"/>
          <w:szCs w:val="18"/>
          <w:color w:val="auto"/>
        </w:rPr>
        <w:t>We are opining as to the effect on the subject transaction only of the federal laws of the United States and the internal laws of the State of New York. We express no opinion with respect to the applicability to the opinions expressed herein, or the effect thereon, of the laws of any other jurisdiction, or as to any matters of municipal law or the laws of any local agencies within any state.</w:t>
      </w:r>
    </w:p>
    <w:p>
      <w:pPr>
        <w:spacing w:after="0" w:line="181" w:lineRule="exact"/>
        <w:rPr>
          <w:sz w:val="20"/>
          <w:szCs w:val="20"/>
          <w:color w:val="auto"/>
        </w:rPr>
      </w:pPr>
    </w:p>
    <w:p>
      <w:pPr>
        <w:ind w:firstLine="881"/>
        <w:spacing w:after="0" w:line="273" w:lineRule="auto"/>
        <w:rPr>
          <w:sz w:val="20"/>
          <w:szCs w:val="20"/>
          <w:color w:val="auto"/>
        </w:rPr>
      </w:pPr>
      <w:r>
        <w:rPr>
          <w:rFonts w:ascii="Arial" w:cs="Arial" w:eastAsia="Arial" w:hAnsi="Arial"/>
          <w:sz w:val="17"/>
          <w:szCs w:val="17"/>
          <w:color w:val="auto"/>
        </w:rPr>
        <w:t>Except as otherwise stated herein, our opinions herein are based upon our consideration of only those statutes, rules and regulations which, in our experience, are normally applicable to borrowers in unsecured loan transactions. We express no opinion as to any state or federal laws or regulations applicable to the subject transactions because of the legal or regulatory status of any parties to the Loan Documents or the legal or regulatory status of any of their affiliates. Various issues pertaining to the laws of the Commonwealth of Pennsylvania are addressed in the opinion of in-house counsel UGI Utilities, Inc., separately provided to you. We express no opinion with respect to those matters herein, and to the extent elements of those opinions are necessary to the conclusions expressed herein, we have, with your consent, assumed such matters.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Subject to the foregoing and the other matters set forth herein, we express the following opinions as of the date hereof:</w:t>
      </w:r>
    </w:p>
    <w:p>
      <w:pPr>
        <w:spacing w:after="0" w:line="117" w:lineRule="exact"/>
        <w:rPr>
          <w:sz w:val="20"/>
          <w:szCs w:val="20"/>
          <w:color w:val="auto"/>
        </w:rPr>
      </w:pPr>
    </w:p>
    <w:p>
      <w:pPr>
        <w:ind w:right="420" w:firstLine="885"/>
        <w:spacing w:after="0" w:line="277" w:lineRule="auto"/>
        <w:tabs>
          <w:tab w:leader="none" w:pos="106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of the Loan Documents constitutes a legally valid and binding obligation of the Borrower, enforceable against the Borrower in accordance with its terms under the internal laws of the State of New York.</w:t>
      </w:r>
    </w:p>
    <w:p>
      <w:pPr>
        <w:spacing w:after="0" w:line="62" w:lineRule="exact"/>
        <w:rPr>
          <w:rFonts w:ascii="Arial" w:cs="Arial" w:eastAsia="Arial" w:hAnsi="Arial"/>
          <w:sz w:val="18"/>
          <w:szCs w:val="18"/>
          <w:color w:val="auto"/>
        </w:rPr>
      </w:pPr>
    </w:p>
    <w:p>
      <w:pPr>
        <w:ind w:left="1060" w:hanging="175"/>
        <w:spacing w:after="0"/>
        <w:tabs>
          <w:tab w:leader="none" w:pos="10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execution and delivery of the Loan Documents and the borrowing of the loans by the Borrower do not on the date hereof:</w:t>
      </w:r>
    </w:p>
    <w:p>
      <w:pPr>
        <w:spacing w:after="0" w:line="128" w:lineRule="exact"/>
        <w:rPr>
          <w:rFonts w:ascii="Arial" w:cs="Arial" w:eastAsia="Arial" w:hAnsi="Arial"/>
          <w:sz w:val="17"/>
          <w:szCs w:val="17"/>
          <w:color w:val="auto"/>
        </w:rPr>
      </w:pPr>
    </w:p>
    <w:p>
      <w:pPr>
        <w:ind w:left="880" w:right="40" w:firstLine="411"/>
        <w:spacing w:after="0" w:line="264" w:lineRule="auto"/>
        <w:tabs>
          <w:tab w:leader="none" w:pos="15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violate any federal or New York statute, rule or regulation applicable to the Borrower (including, without limitation, Regulations T, U or X of the Board of Governors of the Federal Reserve System, assuming the Borrower complies with the provisions of the Loan Documents relating to the use of proceeds); or</w:t>
      </w:r>
    </w:p>
    <w:p>
      <w:pPr>
        <w:spacing w:after="0" w:line="73" w:lineRule="exact"/>
        <w:rPr>
          <w:rFonts w:ascii="Arial" w:cs="Arial" w:eastAsia="Arial" w:hAnsi="Arial"/>
          <w:sz w:val="18"/>
          <w:szCs w:val="18"/>
          <w:color w:val="auto"/>
        </w:rPr>
      </w:pPr>
    </w:p>
    <w:p>
      <w:pPr>
        <w:ind w:left="880" w:right="40" w:firstLine="411"/>
        <w:spacing w:after="0" w:line="264" w:lineRule="auto"/>
        <w:tabs>
          <w:tab w:leader="none" w:pos="155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require any consents, approvals, or authorizations to be obtained by the Borrower from, or any registrations, declarations or filings to be made by the Borrower with, any governmental authority under any federal or New York statute, rule or regulation applicable to the Borrower.</w:t>
      </w:r>
    </w:p>
    <w:p>
      <w:pPr>
        <w:spacing w:after="0" w:line="73" w:lineRule="exact"/>
        <w:rPr>
          <w:rFonts w:ascii="Arial" w:cs="Arial" w:eastAsia="Arial" w:hAnsi="Arial"/>
          <w:sz w:val="18"/>
          <w:szCs w:val="18"/>
          <w:color w:val="auto"/>
        </w:rPr>
      </w:pPr>
    </w:p>
    <w:p>
      <w:pPr>
        <w:ind w:left="1060" w:hanging="175"/>
        <w:spacing w:after="0"/>
        <w:tabs>
          <w:tab w:leader="none" w:pos="10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Borrower is not required to be registered as an “investment company” within the meaning of the Investment Company Act of 1940,</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amended.</w:t>
      </w:r>
    </w:p>
    <w:p>
      <w:pPr>
        <w:sectPr>
          <w:pgSz w:w="11900" w:h="16838" w:orient="portrait"/>
          <w:cols w:equalWidth="0" w:num="1">
            <w:col w:w="11000"/>
          </w:cols>
          <w:pgMar w:left="440" w:top="274" w:right="459" w:bottom="1440" w:gutter="0" w:footer="0" w:header="0"/>
        </w:sectPr>
      </w:pPr>
    </w:p>
    <w:bookmarkStart w:id="122" w:name="page123"/>
    <w:bookmarkEnd w:id="122"/>
    <w:p>
      <w:pPr>
        <w:ind w:right="28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do not express any opinion with respect to the creation, validity, attachment, perfection or priority of any security interest or lien or the effectiveness of any sale or other conveyance or transfer of real or personal property. The opinions above do not include any opinions with respect to compliance with laws relating to permissible rates of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opinions are subject to:</w:t>
      </w:r>
    </w:p>
    <w:p>
      <w:pPr>
        <w:spacing w:after="0" w:line="117" w:lineRule="exact"/>
        <w:rPr>
          <w:sz w:val="20"/>
          <w:szCs w:val="20"/>
          <w:color w:val="auto"/>
        </w:rPr>
      </w:pPr>
    </w:p>
    <w:p>
      <w:pPr>
        <w:ind w:left="880" w:firstLine="411"/>
        <w:spacing w:after="0" w:line="277" w:lineRule="auto"/>
        <w:tabs>
          <w:tab w:leader="none" w:pos="153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effects of bankruptcy, insolvency, reorganization, preference, fraudulent transfer, moratorium or other similar laws relating to or affecting the rights or remedies of creditors;</w:t>
      </w:r>
    </w:p>
    <w:p>
      <w:pPr>
        <w:spacing w:after="0" w:line="62" w:lineRule="exact"/>
        <w:rPr>
          <w:rFonts w:ascii="Arial" w:cs="Arial" w:eastAsia="Arial" w:hAnsi="Arial"/>
          <w:sz w:val="18"/>
          <w:szCs w:val="18"/>
          <w:color w:val="auto"/>
        </w:rPr>
      </w:pPr>
    </w:p>
    <w:p>
      <w:pPr>
        <w:ind w:left="880" w:right="720" w:firstLine="411"/>
        <w:spacing w:after="0" w:line="264" w:lineRule="auto"/>
        <w:tabs>
          <w:tab w:leader="none" w:pos="1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effects of general principles of equity, whether considered in a proceeding in equity or at law (including the possible unavailability of specific performance or injunctive relief), concepts of materiality, reasonableness, good faith, fair dealing and the discretion of the court before which a proceeding is brought;</w:t>
      </w:r>
    </w:p>
    <w:p>
      <w:pPr>
        <w:spacing w:after="0" w:line="73" w:lineRule="exact"/>
        <w:rPr>
          <w:rFonts w:ascii="Arial" w:cs="Arial" w:eastAsia="Arial" w:hAnsi="Arial"/>
          <w:sz w:val="18"/>
          <w:szCs w:val="18"/>
          <w:color w:val="auto"/>
        </w:rPr>
      </w:pPr>
    </w:p>
    <w:p>
      <w:pPr>
        <w:jc w:val="both"/>
        <w:ind w:left="880" w:right="200" w:firstLine="411"/>
        <w:spacing w:after="0" w:line="342" w:lineRule="auto"/>
        <w:tabs>
          <w:tab w:leader="none" w:pos="153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invalidity under certain circumstances under law or court decisions of provisions for the indemnification or exculpation of or contribution to a party with respect to a liability where such indemnification, exculpation or contribution is contrary to public policy; and</w:t>
      </w:r>
    </w:p>
    <w:p>
      <w:pPr>
        <w:spacing w:after="0" w:line="15" w:lineRule="exact"/>
        <w:rPr>
          <w:rFonts w:ascii="Arial" w:cs="Arial" w:eastAsia="Arial" w:hAnsi="Arial"/>
          <w:sz w:val="16"/>
          <w:szCs w:val="16"/>
          <w:color w:val="auto"/>
        </w:rPr>
      </w:pPr>
    </w:p>
    <w:p>
      <w:pPr>
        <w:ind w:left="880" w:firstLine="411"/>
        <w:spacing w:after="0" w:line="286" w:lineRule="auto"/>
        <w:tabs>
          <w:tab w:leader="none" w:pos="15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we express no opinion with respect to (i) consents to, or restrictions upon, governing law, jurisdiction, venue, service of process, arbitration, remedies or judicial relief; (ii) advance waivers of claims, defenses, rights granted by law, notice, opportunity for hearing, evidentiary requirements, statutes of limitation, trial by jury or at law or other procedural rights; (iii) waivers of broadly or vaguely stated rights; (iv) covenants not to compete; (v) provisions for exclusivity, election or cumulation of rights or remedies; (vi) provisions authorizing or validating conclusive or discretionary determinations; (vii) grants of setoff rights; (viii) provisions to the effect that a guarantor is liable as a primary obligor, and not as a surety and provisions purporting to waive modifications of any guaranteed obligation to the extent such modification constitutes a novation; (ix) provisions for the payment of attorneys’ fees where such payment is contrary to law or public policy; (x) proxies, powers and trusts; (xi) provisions prohibiting, restricting, or requiring consent to assignment or transfer of any agreement, right or property; (xii) provisions for liquidated damages, default interest, late charges, monetary penalties, prepayment or make-whole premiums or other economic remedies to the extent such provisions are deemed to constitute a penalty; (xiii) provisions permitting, upon acceleration of any indebtedness, collection of that portion of the stated principal amount thereof which might be determined to constitute unearned interest thereon; (xiv) any provision of the Loan Documents that refers to, incorporates or is based upon the law of any jurisdiction other than the State of New York; and (xv) the severability, if invalid, of provisions to the foregoing effect.</w:t>
      </w:r>
    </w:p>
    <w:p>
      <w:pPr>
        <w:sectPr>
          <w:pgSz w:w="11900" w:h="16838" w:orient="portrait"/>
          <w:cols w:equalWidth="0" w:num="1">
            <w:col w:w="11000"/>
          </w:cols>
          <w:pgMar w:left="440" w:top="274" w:right="459" w:bottom="1440" w:gutter="0" w:footer="0" w:header="0"/>
        </w:sectPr>
      </w:pPr>
    </w:p>
    <w:bookmarkStart w:id="123" w:name="page124"/>
    <w:bookmarkEnd w:id="123"/>
    <w:p>
      <w:pPr>
        <w:ind w:firstLine="88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express no opinion or confirmation as to federal or state securities laws (except as expressly set forth in numbered paragraph 3 of this letter with respect to federal securities laws), tax laws, antitrust or trade regulation laws, insolvency or fraudulent transfer laws, antifraud laws, fiduciary duty requirements, pension or employee benefit laws, usury laws, environmental laws, margin regulations (except as set forth in paragraph 2(i) above), laws and regulations relating to commodities trading, futures and swaps; Financial Industry Regulatory Authority rules; National Futures Association rules; or the rules of any stock exchange, clearing organization, designated contract market or other regulated entity for trading, processing, clearing or reporting transactions in securities, commodities, futures or swaps, export control, anti-money laundering, and anti-terrorism laws and regulations (without limiting other laws, regulations or rules excluded by customary practice).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have assumed that any conditions to the effectiveness of the Loan Documents have been satisfied or waived.</w:t>
      </w:r>
    </w:p>
    <w:p>
      <w:pPr>
        <w:spacing w:after="0" w:line="225"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Our opinions expressed herein with respect to the Loan Documents address only the express terms of such documents (excluding any provisions incorporating any document or agreement, or the provisions of any other document or agreement, that is not a Loan Document, by reference) and not any other document or agreement, or the provisions of such other document or agreement, incorporated therein or made a part thereof by reference.</w:t>
      </w:r>
    </w:p>
    <w:p>
      <w:pPr>
        <w:spacing w:after="0" w:line="187" w:lineRule="exact"/>
        <w:rPr>
          <w:sz w:val="20"/>
          <w:szCs w:val="20"/>
          <w:color w:val="auto"/>
        </w:rPr>
      </w:pPr>
    </w:p>
    <w:p>
      <w:pPr>
        <w:ind w:right="40" w:firstLine="881"/>
        <w:spacing w:after="0" w:line="273" w:lineRule="auto"/>
        <w:rPr>
          <w:sz w:val="20"/>
          <w:szCs w:val="20"/>
          <w:color w:val="auto"/>
        </w:rPr>
      </w:pPr>
      <w:r>
        <w:rPr>
          <w:rFonts w:ascii="Arial" w:cs="Arial" w:eastAsia="Arial" w:hAnsi="Arial"/>
          <w:sz w:val="17"/>
          <w:szCs w:val="17"/>
          <w:color w:val="auto"/>
        </w:rPr>
        <w:t>With your consent, except to the extent that we have expressly opined as to such matters with respect to the Borrower herein, we have assumed that, (a) the Loan Documents have been duly authorized, executed and delivered by the parties thereto, (b) the Loan Documents constitute legally valid and binding obligations of the parties thereto, enforceable against each of them in accordance with their respective terms, and (c) the status of the Loan Documents as legally valid and binding obligations of the parties is not affected by any (i) breaches of, or defaults under, agreements or instruments, (ii) violations of statutes, rules, regulations or court or governmental orders, or (iii) failures to obtain required consents, approvals or authorizations from, or make required registrations, declarations or filings with, governmental authorities.</w:t>
      </w:r>
    </w:p>
    <w:p>
      <w:pPr>
        <w:spacing w:after="0" w:line="178" w:lineRule="exact"/>
        <w:rPr>
          <w:sz w:val="20"/>
          <w:szCs w:val="20"/>
          <w:color w:val="auto"/>
        </w:rPr>
      </w:pPr>
    </w:p>
    <w:p>
      <w:pPr>
        <w:ind w:right="20" w:firstLine="881"/>
        <w:spacing w:after="0" w:line="269" w:lineRule="auto"/>
        <w:rPr>
          <w:sz w:val="20"/>
          <w:szCs w:val="20"/>
          <w:color w:val="auto"/>
        </w:rPr>
      </w:pPr>
      <w:r>
        <w:rPr>
          <w:rFonts w:ascii="Arial" w:cs="Arial" w:eastAsia="Arial" w:hAnsi="Arial"/>
          <w:sz w:val="17"/>
          <w:szCs w:val="17"/>
          <w:color w:val="auto"/>
        </w:rPr>
        <w:t>This letter is furnished only to you and is solely for your benefit in connection with the transactions referenced in the first paragraph of this letter. This letter may not be relied upon by you for any other purpose, or furnished to, assigned to, quoted to or relied upon by any other person, firm or entity for any purpose, without our prior written consent, which may be granted or withheld in our discretion. At your request, we hereby consent to reliance hereon by any future assignee of your interest in the loans under the Credit Agreement pursuant to an assignment that is made and consented to in accordance with the express provisions of Section 8.07 of the Credit Agreement, on the condition and understanding that (i) this letter speaks only as of the date hereof, (ii) we have no responsibility or obligation to update this letter, to consider its applicability or correctness to any person or entity other than its addressee(s), or to take into account changes in law, facts or any other developments of which we may later become aware, and (iii) any such reliance by a future assignee must be actual and reasonable under the circumstances existing at the time of assignment, including any changes in law, facts or any other developments known to or reasonably knowable by the assignee at such time. In addition, we also hereby consent to your furnishing a copy of this letter to: (i) governmental regulatory agencies having jurisdiction over any person permitted to rely on this letter, (ii) to attorneys as</w:t>
      </w:r>
    </w:p>
    <w:p>
      <w:pPr>
        <w:sectPr>
          <w:pgSz w:w="11900" w:h="16838" w:orient="portrait"/>
          <w:cols w:equalWidth="0" w:num="1">
            <w:col w:w="10980"/>
          </w:cols>
          <w:pgMar w:left="440" w:top="274" w:right="479" w:bottom="1440" w:gutter="0" w:footer="0" w:header="0"/>
        </w:sectPr>
      </w:pPr>
    </w:p>
    <w:bookmarkStart w:id="124" w:name="page125"/>
    <w:bookmarkEnd w:id="12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needed in connection with any legal action arising out of the transactions contemplated by the Loan Documents to which a person permitted to rely on this letter is a party and (iii) as required by any order of any court or governmental authority; provided, however, that no such person shall be entitled to rely on this letter.</w:t>
      </w:r>
    </w:p>
    <w:p>
      <w:pPr>
        <w:spacing w:after="0" w:line="18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0920"/>
          </w:cols>
          <w:pgMar w:left="440" w:top="274" w:right="539" w:bottom="1440" w:gutter="0" w:footer="0" w:header="0"/>
        </w:sectPr>
      </w:pPr>
    </w:p>
    <w:bookmarkStart w:id="125" w:name="page126"/>
    <w:bookmarkEnd w:id="125"/>
    <w:p>
      <w:pPr>
        <w:jc w:val="center"/>
        <w:ind w:right="-476"/>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37" w:lineRule="exact"/>
        <w:rPr>
          <w:sz w:val="20"/>
          <w:szCs w:val="20"/>
          <w:color w:val="auto"/>
        </w:rPr>
      </w:pPr>
    </w:p>
    <w:p>
      <w:pPr>
        <w:ind w:left="4536"/>
        <w:spacing w:after="0"/>
        <w:rPr>
          <w:sz w:val="20"/>
          <w:szCs w:val="20"/>
          <w:color w:val="auto"/>
        </w:rPr>
      </w:pPr>
      <w:r>
        <w:rPr>
          <w:rFonts w:ascii="Arial" w:cs="Arial" w:eastAsia="Arial" w:hAnsi="Arial"/>
          <w:sz w:val="18"/>
          <w:szCs w:val="18"/>
          <w:b w:val="1"/>
          <w:bCs w:val="1"/>
          <w:color w:val="auto"/>
        </w:rPr>
        <w:t>LENDERS</w:t>
      </w:r>
    </w:p>
    <w:p>
      <w:pPr>
        <w:spacing w:after="0" w:line="256" w:lineRule="exact"/>
        <w:rPr>
          <w:sz w:val="20"/>
          <w:szCs w:val="20"/>
          <w:color w:val="auto"/>
        </w:rPr>
      </w:pPr>
    </w:p>
    <w:p>
      <w:pPr>
        <w:ind w:left="316" w:hanging="316"/>
        <w:spacing w:after="0"/>
        <w:tabs>
          <w:tab w:leader="none" w:pos="31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PNC Bank, National Association</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Citizens Bank, N.A.</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Bank of America, N.A.</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Credit Suisse AG, Cayman Islands Branch</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JPMorgan Chase Bank, N.A.</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Wells Fargo Bank, National Association</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Bank of New York Mellon</w:t>
      </w:r>
    </w:p>
    <w:p>
      <w:pPr>
        <w:sectPr>
          <w:pgSz w:w="11900" w:h="16838" w:orient="portrait"/>
          <w:cols w:equalWidth="0" w:num="1">
            <w:col w:w="9475"/>
          </w:cols>
          <w:pgMar w:left="984" w:top="270" w:right="1440" w:bottom="1440" w:gutter="0" w:footer="0" w:header="0"/>
        </w:sectPr>
      </w:pPr>
    </w:p>
    <w:bookmarkStart w:id="126" w:name="page127"/>
    <w:bookmarkEnd w:id="126"/>
    <w:p>
      <w:pPr>
        <w:jc w:val="center"/>
        <w:ind w:right="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w:t>
      </w:r>
    </w:p>
    <w:p>
      <w:pPr>
        <w:spacing w:after="0" w:line="256" w:lineRule="exact"/>
        <w:rPr>
          <w:sz w:val="20"/>
          <w:szCs w:val="20"/>
          <w:color w:val="auto"/>
        </w:rPr>
      </w:pPr>
    </w:p>
    <w:p>
      <w:pPr>
        <w:ind w:left="320" w:hanging="316"/>
        <w:spacing w:after="0"/>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Swing Line Promissory Note, dated June 27, 2019, executed by the Borrower in favor of PNC Bank, National Association</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Revolving Credit Promissory Note, dated June 27, 2019, executed by the Borrower in favor of PNC Bank, National Association</w:t>
      </w:r>
    </w:p>
    <w:p>
      <w:pPr>
        <w:spacing w:after="0" w:line="142" w:lineRule="exact"/>
        <w:rPr>
          <w:rFonts w:ascii="Arial" w:cs="Arial" w:eastAsia="Arial" w:hAnsi="Arial"/>
          <w:sz w:val="17"/>
          <w:szCs w:val="17"/>
          <w:color w:val="auto"/>
        </w:rPr>
      </w:pPr>
    </w:p>
    <w:p>
      <w:pPr>
        <w:ind w:left="320" w:hanging="316"/>
        <w:spacing w:after="0"/>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Revolving Credit Promissory Note, dated June 27, 2019, executed by the Borrower in favor of Citizens Bank, N.A.</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Revolving Credit Promissory Note, dated June 27, 2019, executed by the Borrower in favor of Bank of America, N.A.</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Revolving Credit Promissory Note, dated June 27, 2019, executed by the Borrower in favor of Credit Suisse AG, Cayman Islands Branch</w:t>
      </w:r>
    </w:p>
    <w:p>
      <w:pPr>
        <w:spacing w:after="0" w:line="153" w:lineRule="exact"/>
        <w:rPr>
          <w:rFonts w:ascii="Arial" w:cs="Arial" w:eastAsia="Arial" w:hAnsi="Arial"/>
          <w:sz w:val="16"/>
          <w:szCs w:val="16"/>
          <w:color w:val="auto"/>
        </w:rPr>
      </w:pPr>
    </w:p>
    <w:p>
      <w:pPr>
        <w:ind w:left="320" w:hanging="316"/>
        <w:spacing w:after="0"/>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Revolving Credit Promissory Note, dated June 27, 2019, executed by the Borrower in favor of JPMorgan Chase Bank, N.A.</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Revolving Credit Promissory Note, dated June 27, 2019, executed by the Borrower in favor of Wells Fargo Bank, National Association</w:t>
      </w:r>
    </w:p>
    <w:p>
      <w:pPr>
        <w:spacing w:after="0" w:line="153" w:lineRule="exact"/>
        <w:rPr>
          <w:rFonts w:ascii="Arial" w:cs="Arial" w:eastAsia="Arial" w:hAnsi="Arial"/>
          <w:sz w:val="16"/>
          <w:szCs w:val="16"/>
          <w:color w:val="auto"/>
        </w:rPr>
      </w:pPr>
    </w:p>
    <w:p>
      <w:pPr>
        <w:ind w:left="320" w:hanging="316"/>
        <w:spacing w:after="0"/>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Revolving Credit Promissory Note, dated June 27, 2019, executed by the Borrower in favor of The Bank of New York Mellon</w:t>
      </w:r>
    </w:p>
    <w:p>
      <w:pPr>
        <w:sectPr>
          <w:pgSz w:w="11900" w:h="16838" w:orient="portrait"/>
          <w:cols w:equalWidth="0" w:num="1">
            <w:col w:w="10220"/>
          </w:cols>
          <w:pgMar w:left="980" w:top="270" w:right="69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D-2 – FORM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OPINION OF IN-HOUSE COUNSEL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THE BORROWER</w:t>
      </w:r>
    </w:p>
    <w:p>
      <w:pPr>
        <w:spacing w:after="0" w:line="14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D-2-1</w:t>
      </w:r>
    </w:p>
    <w:p>
      <w:pPr>
        <w:sectPr>
          <w:pgSz w:w="11900" w:h="16838" w:orient="portrait"/>
          <w:cols w:equalWidth="0" w:num="1">
            <w:col w:w="10020"/>
          </w:cols>
          <w:pgMar w:left="1440" w:top="274" w:right="4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June 27,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lenders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agent for the lenders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Firstside Center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500 First Avenue, 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Pittsburgh, PA 15219</w:t>
      </w:r>
    </w:p>
    <w:p>
      <w:pPr>
        <w:spacing w:after="0" w:line="103"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Re: Credit Agreement dated as of June 27, 2019 among UGI Utilities, Inc., a Pennsylvania corporation, the lenders party thereto and PNC Bank, National Association, as administrative agent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40" w:firstLine="881"/>
        <w:spacing w:after="0" w:line="279" w:lineRule="auto"/>
        <w:rPr>
          <w:sz w:val="20"/>
          <w:szCs w:val="20"/>
          <w:color w:val="auto"/>
        </w:rPr>
      </w:pPr>
      <w:r>
        <w:rPr>
          <w:rFonts w:ascii="Arial" w:cs="Arial" w:eastAsia="Arial" w:hAnsi="Arial"/>
          <w:sz w:val="17"/>
          <w:szCs w:val="17"/>
          <w:color w:val="auto"/>
        </w:rPr>
        <w:t>The undersigned is the in-house counsel of UGI Utilities, Inc., a Pennsylvania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and is legal counsel to it in connection with (i) that certain Credit Agreement, dated as of June 27, 2019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xml:space="preserve">”), among the Borrower, the lenders from time to time party thereto (such lenders as of the date hereof identified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Lenders</w:t>
      </w:r>
      <w:r>
        <w:rPr>
          <w:rFonts w:ascii="Arial" w:cs="Arial" w:eastAsia="Arial" w:hAnsi="Arial"/>
          <w:sz w:val="17"/>
          <w:szCs w:val="17"/>
          <w:color w:val="auto"/>
        </w:rPr>
        <w:t>”) and PNC Bank, National Association, as the administrative agent (the “</w:t>
      </w:r>
      <w:r>
        <w:rPr>
          <w:rFonts w:ascii="Arial" w:cs="Arial" w:eastAsia="Arial" w:hAnsi="Arial"/>
          <w:sz w:val="17"/>
          <w:szCs w:val="17"/>
          <w:u w:val="single" w:color="auto"/>
          <w:color w:val="auto"/>
        </w:rPr>
        <w:t>Agent</w:t>
      </w:r>
      <w:r>
        <w:rPr>
          <w:rFonts w:ascii="Arial" w:cs="Arial" w:eastAsia="Arial" w:hAnsi="Arial"/>
          <w:sz w:val="17"/>
          <w:szCs w:val="17"/>
          <w:color w:val="auto"/>
        </w:rPr>
        <w:t>”), and (ii) the other Loan Documents (as defined below).</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letter is furnished pursuant to Section 3.01(g)(vi)(y) of the Credit Agreement.</w:t>
      </w:r>
    </w:p>
    <w:p>
      <w:pPr>
        <w:spacing w:after="0" w:line="225"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As such counsel, I, or attorneys under my supervision, have examined such matters of fact and questions of law as I have considered appropriate for purposes of this letter, except where a specified fact confirmation procedure is stated to have been performed (in which case I have with your consent performed the stated procedure). I have examined, among other things, the following:</w:t>
      </w:r>
    </w:p>
    <w:p>
      <w:pPr>
        <w:spacing w:after="0" w:line="73" w:lineRule="exact"/>
        <w:rPr>
          <w:sz w:val="20"/>
          <w:szCs w:val="20"/>
          <w:color w:val="auto"/>
        </w:rPr>
      </w:pPr>
    </w:p>
    <w:p>
      <w:pPr>
        <w:ind w:left="1540" w:hanging="249"/>
        <w:spacing w:after="0"/>
        <w:tabs>
          <w:tab w:leader="none" w:pos="1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Credit Agreement;</w:t>
      </w:r>
    </w:p>
    <w:p>
      <w:pPr>
        <w:spacing w:after="0" w:line="117" w:lineRule="exact"/>
        <w:rPr>
          <w:rFonts w:ascii="Arial" w:cs="Arial" w:eastAsia="Arial" w:hAnsi="Arial"/>
          <w:sz w:val="18"/>
          <w:szCs w:val="18"/>
          <w:color w:val="auto"/>
        </w:rPr>
      </w:pPr>
    </w:p>
    <w:p>
      <w:pPr>
        <w:ind w:left="1540" w:hanging="249"/>
        <w:spacing w:after="0"/>
        <w:tabs>
          <w:tab w:leader="none" w:pos="1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the promissory notes listed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Notes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80" w:right="160" w:firstLine="411"/>
        <w:spacing w:after="0" w:line="277" w:lineRule="auto"/>
        <w:tabs>
          <w:tab w:leader="none" w:pos="153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each of the constituent documents listed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Governing Documents</w:t>
      </w:r>
      <w:r>
        <w:rPr>
          <w:rFonts w:ascii="Arial" w:cs="Arial" w:eastAsia="Arial" w:hAnsi="Arial"/>
          <w:sz w:val="18"/>
          <w:szCs w:val="18"/>
          <w:color w:val="auto"/>
        </w:rPr>
        <w:t>”), and certain resolutions of the governing bodies of the Borrower.</w:t>
      </w:r>
    </w:p>
    <w:p>
      <w:pPr>
        <w:sectPr>
          <w:pgSz w:w="11900" w:h="16838" w:orient="portrait"/>
          <w:cols w:equalWidth="0" w:num="1">
            <w:col w:w="11000"/>
          </w:cols>
          <w:pgMar w:left="440" w:top="274" w:right="459" w:bottom="1440" w:gutter="0" w:footer="0" w:header="0"/>
        </w:sectPr>
      </w:pPr>
    </w:p>
    <w:bookmarkStart w:id="129" w:name="page130"/>
    <w:bookmarkEnd w:id="129"/>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documents described in subsections (a) and (b) above are referred to herein collectively as the “</w:t>
      </w:r>
      <w:r>
        <w:rPr>
          <w:rFonts w:ascii="Arial" w:cs="Arial" w:eastAsia="Arial" w:hAnsi="Arial"/>
          <w:sz w:val="18"/>
          <w:szCs w:val="18"/>
          <w:u w:val="single" w:color="auto"/>
          <w:color w:val="auto"/>
        </w:rPr>
        <w:t>Loan Documents</w:t>
      </w:r>
      <w:r>
        <w:rPr>
          <w:rFonts w:ascii="Arial" w:cs="Arial" w:eastAsia="Arial" w:hAnsi="Arial"/>
          <w:sz w:val="18"/>
          <w:szCs w:val="18"/>
          <w:color w:val="auto"/>
        </w:rPr>
        <w:t>.”</w:t>
      </w:r>
    </w:p>
    <w:p>
      <w:pPr>
        <w:spacing w:after="0" w:line="225" w:lineRule="exact"/>
        <w:rPr>
          <w:sz w:val="20"/>
          <w:szCs w:val="20"/>
          <w:color w:val="auto"/>
        </w:rPr>
      </w:pPr>
    </w:p>
    <w:p>
      <w:pPr>
        <w:jc w:val="both"/>
        <w:ind w:right="440" w:firstLine="881"/>
        <w:spacing w:after="0" w:line="264" w:lineRule="auto"/>
        <w:rPr>
          <w:sz w:val="20"/>
          <w:szCs w:val="20"/>
          <w:color w:val="auto"/>
        </w:rPr>
      </w:pPr>
      <w:r>
        <w:rPr>
          <w:rFonts w:ascii="Arial" w:cs="Arial" w:eastAsia="Arial" w:hAnsi="Arial"/>
          <w:sz w:val="18"/>
          <w:szCs w:val="18"/>
          <w:color w:val="auto"/>
        </w:rPr>
        <w:t>Except as otherwise stated herein, as to factual matters I have, with your consent, relied upon the foregoing, and upon oral and written statements and representations of officers and other representatives of the Borrower and others, including the representations and warranties of the Borrower in the Loan Documents. I have not independently verified such factual matters.</w:t>
      </w:r>
    </w:p>
    <w:p>
      <w:pPr>
        <w:spacing w:after="0" w:line="181" w:lineRule="exact"/>
        <w:rPr>
          <w:sz w:val="20"/>
          <w:szCs w:val="20"/>
          <w:color w:val="auto"/>
        </w:rPr>
      </w:pPr>
    </w:p>
    <w:p>
      <w:pPr>
        <w:jc w:val="both"/>
        <w:ind w:right="60" w:firstLine="881"/>
        <w:spacing w:after="0" w:line="264" w:lineRule="auto"/>
        <w:rPr>
          <w:sz w:val="20"/>
          <w:szCs w:val="20"/>
          <w:color w:val="auto"/>
        </w:rPr>
      </w:pPr>
      <w:r>
        <w:rPr>
          <w:rFonts w:ascii="Arial" w:cs="Arial" w:eastAsia="Arial" w:hAnsi="Arial"/>
          <w:sz w:val="18"/>
          <w:szCs w:val="18"/>
          <w:color w:val="auto"/>
        </w:rPr>
        <w:t>In my examination, I have assumed the genuineness of all signatures, including any endorsements, the legal capacity and competency of all natural persons, the authenticity of all documents submitted to me as originals, the conformity to original documents of all documents submitted to me as facsimile, electronic, certified or photostatic copies and the authenticity of the originals of such copies.</w:t>
      </w:r>
    </w:p>
    <w:p>
      <w:pPr>
        <w:spacing w:after="0" w:line="181"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I am opining as to the effect on the subject transaction only of the internal laws of the Commonwealth of Pennsylvania. I express no opinion with respect to the applicability to the opinions expressed herein, or the effect thereon, of the laws of any other jurisdiction, or as to any matters of municipal law or the laws of any local agencies within any state.</w:t>
      </w:r>
    </w:p>
    <w:p>
      <w:pPr>
        <w:spacing w:after="0" w:line="181" w:lineRule="exact"/>
        <w:rPr>
          <w:sz w:val="20"/>
          <w:szCs w:val="20"/>
          <w:color w:val="auto"/>
        </w:rPr>
      </w:pPr>
    </w:p>
    <w:p>
      <w:pPr>
        <w:ind w:firstLine="881"/>
        <w:spacing w:after="0" w:line="273" w:lineRule="auto"/>
        <w:rPr>
          <w:sz w:val="20"/>
          <w:szCs w:val="20"/>
          <w:color w:val="auto"/>
        </w:rPr>
      </w:pPr>
      <w:r>
        <w:rPr>
          <w:rFonts w:ascii="Arial" w:cs="Arial" w:eastAsia="Arial" w:hAnsi="Arial"/>
          <w:sz w:val="17"/>
          <w:szCs w:val="17"/>
          <w:color w:val="auto"/>
        </w:rPr>
        <w:t>Except as otherwise stated herein, the opinions herein are based upon my consideration of only those statutes, rules and regulations which, in my experience, are normally applicable to borrowers in unsecured loan transactions. I express no opinion as to any state or federal laws or regulations applicable to the subject transactions because of the legal or regulatory status of any parties to the Loan Documents or the legal or regulatory status of any of their affiliates. Various issues pertaining to the federal laws of the United States and the laws of the State of New York are addressed in the opinion of Latham &amp; Watkins LLP, separately provided to you. I express no opinion with respect to those matters herein, and to the extent elements of those opinions are necessary to the conclusions expressed herein, I have, with your consent, assumed such matters.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Subject to the foregoing and the other matters set forth herein, I express the following opinions as of the date hereof:</w:t>
      </w:r>
    </w:p>
    <w:p>
      <w:pPr>
        <w:spacing w:after="0" w:line="117" w:lineRule="exact"/>
        <w:rPr>
          <w:sz w:val="20"/>
          <w:szCs w:val="20"/>
          <w:color w:val="auto"/>
        </w:rPr>
      </w:pPr>
    </w:p>
    <w:p>
      <w:pPr>
        <w:ind w:right="20" w:firstLine="885"/>
        <w:spacing w:after="0" w:line="286" w:lineRule="auto"/>
        <w:tabs>
          <w:tab w:leader="none" w:pos="106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Borrower is a corporation under the laws of the Commonwealth of Pennsylvania with corporate power and authority to enter into the Loan Documents to which it is a party and perform its obligations thereunder. With your consent, based solely on certificates from public officials, I confirm that the Borrower is validly existing and in good standing under the laws of the Commonwealth of Pennsylvania.</w:t>
      </w:r>
    </w:p>
    <w:p>
      <w:pPr>
        <w:spacing w:after="0" w:line="57" w:lineRule="exact"/>
        <w:rPr>
          <w:rFonts w:ascii="Arial" w:cs="Arial" w:eastAsia="Arial" w:hAnsi="Arial"/>
          <w:sz w:val="17"/>
          <w:szCs w:val="17"/>
          <w:color w:val="auto"/>
        </w:rPr>
      </w:pPr>
    </w:p>
    <w:p>
      <w:pPr>
        <w:ind w:right="120" w:firstLine="885"/>
        <w:spacing w:after="0" w:line="277" w:lineRule="auto"/>
        <w:tabs>
          <w:tab w:leader="none" w:pos="106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execution, delivery and performance of the Loan Documents by the Borrower have been duly authorized by all necessary corporate action of the Borrower and the Loan Documents have been duly executed and delivered by the Borrower.</w:t>
      </w:r>
    </w:p>
    <w:p>
      <w:pPr>
        <w:spacing w:after="0" w:line="62" w:lineRule="exact"/>
        <w:rPr>
          <w:rFonts w:ascii="Arial" w:cs="Arial" w:eastAsia="Arial" w:hAnsi="Arial"/>
          <w:sz w:val="18"/>
          <w:szCs w:val="18"/>
          <w:color w:val="auto"/>
        </w:rPr>
      </w:pPr>
    </w:p>
    <w:p>
      <w:pPr>
        <w:ind w:left="1060" w:hanging="175"/>
        <w:spacing w:after="0"/>
        <w:tabs>
          <w:tab w:leader="none" w:pos="10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execution and delivery of the Loan Documents and the borrowing of the loans by the Borrower do not on the date hereof:</w:t>
      </w:r>
    </w:p>
    <w:p>
      <w:pPr>
        <w:spacing w:after="0" w:line="128" w:lineRule="exact"/>
        <w:rPr>
          <w:rFonts w:ascii="Arial" w:cs="Arial" w:eastAsia="Arial" w:hAnsi="Arial"/>
          <w:sz w:val="17"/>
          <w:szCs w:val="17"/>
          <w:color w:val="auto"/>
        </w:rPr>
      </w:pPr>
    </w:p>
    <w:p>
      <w:pPr>
        <w:ind w:left="1500" w:hanging="209"/>
        <w:spacing w:after="0"/>
        <w:tabs>
          <w:tab w:leader="none" w:pos="15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violate the provisions of the Governing Documents;</w:t>
      </w:r>
    </w:p>
    <w:p>
      <w:pPr>
        <w:spacing w:after="0" w:line="117" w:lineRule="exact"/>
        <w:rPr>
          <w:rFonts w:ascii="Arial" w:cs="Arial" w:eastAsia="Arial" w:hAnsi="Arial"/>
          <w:sz w:val="18"/>
          <w:szCs w:val="18"/>
          <w:color w:val="auto"/>
        </w:rPr>
      </w:pPr>
    </w:p>
    <w:p>
      <w:pPr>
        <w:ind w:left="1560" w:hanging="269"/>
        <w:spacing w:after="0"/>
        <w:tabs>
          <w:tab w:leader="none" w:pos="15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violate any Pennsylvania statute, rule or regulation applicable to the Borrower; or</w:t>
      </w:r>
    </w:p>
    <w:p>
      <w:pPr>
        <w:sectPr>
          <w:pgSz w:w="11900" w:h="16838" w:orient="portrait"/>
          <w:cols w:equalWidth="0" w:num="1">
            <w:col w:w="10980"/>
          </w:cols>
          <w:pgMar w:left="440" w:top="274" w:right="479" w:bottom="1440" w:gutter="0" w:footer="0" w:header="0"/>
        </w:sectPr>
      </w:pPr>
    </w:p>
    <w:bookmarkStart w:id="130" w:name="page131"/>
    <w:bookmarkEnd w:id="130"/>
    <w:p>
      <w:pPr>
        <w:ind w:left="1440" w:firstLine="380"/>
        <w:spacing w:after="0" w:line="264" w:lineRule="auto"/>
        <w:tabs>
          <w:tab w:leader="none" w:pos="2138"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 any consents, approvals, or authorizations to be obtained by the Borrower from, or any registrations, declarations or filings to be made by the Borrower with, any governmental authority under any Pennsylvania statute, rule or regulation applicable to the Borrower.</w:t>
      </w:r>
    </w:p>
    <w:p>
      <w:pPr>
        <w:spacing w:after="0" w:line="181"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I do not express any opinion with respect to the creation, validity, attachment, perfection or priority of any security interest or lien or the effectiveness of any sale or other conveyance or transfer of real or personal property. The opinions above do not include any opinions with respect to compliance with laws relating to permissible rates of interest.</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These opinions are subject to:</w:t>
      </w:r>
    </w:p>
    <w:p>
      <w:pPr>
        <w:spacing w:after="0" w:line="117" w:lineRule="exact"/>
        <w:rPr>
          <w:sz w:val="20"/>
          <w:szCs w:val="20"/>
          <w:color w:val="auto"/>
        </w:rPr>
      </w:pPr>
    </w:p>
    <w:p>
      <w:pPr>
        <w:ind w:left="880" w:firstLine="411"/>
        <w:spacing w:after="0" w:line="277" w:lineRule="auto"/>
        <w:tabs>
          <w:tab w:leader="none" w:pos="153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effects of bankruptcy, insolvency, reorganization, preference, fraudulent transfer, moratorium or other similar laws relating to or affecting the rights or remedies of creditors;</w:t>
      </w:r>
    </w:p>
    <w:p>
      <w:pPr>
        <w:spacing w:after="0" w:line="62" w:lineRule="exact"/>
        <w:rPr>
          <w:rFonts w:ascii="Arial" w:cs="Arial" w:eastAsia="Arial" w:hAnsi="Arial"/>
          <w:sz w:val="18"/>
          <w:szCs w:val="18"/>
          <w:color w:val="auto"/>
        </w:rPr>
      </w:pPr>
    </w:p>
    <w:p>
      <w:pPr>
        <w:ind w:left="880" w:right="720" w:firstLine="411"/>
        <w:spacing w:after="0" w:line="264" w:lineRule="auto"/>
        <w:tabs>
          <w:tab w:leader="none" w:pos="1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effects of general principles of equity, whether considered in a proceeding in equity or at law (including the possible unavailability of specific performance or injunctive relief), concepts of materiality, reasonableness, good faith, fair dealing and the discretion of the court before which a proceeding is brought;</w:t>
      </w:r>
    </w:p>
    <w:p>
      <w:pPr>
        <w:spacing w:after="0" w:line="73" w:lineRule="exact"/>
        <w:rPr>
          <w:rFonts w:ascii="Arial" w:cs="Arial" w:eastAsia="Arial" w:hAnsi="Arial"/>
          <w:sz w:val="18"/>
          <w:szCs w:val="18"/>
          <w:color w:val="auto"/>
        </w:rPr>
      </w:pPr>
    </w:p>
    <w:p>
      <w:pPr>
        <w:jc w:val="both"/>
        <w:ind w:left="880" w:right="200" w:firstLine="411"/>
        <w:spacing w:after="0" w:line="342" w:lineRule="auto"/>
        <w:tabs>
          <w:tab w:leader="none" w:pos="153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invalidity under certain circumstances under law or court decisions of provisions for the indemnification or exculpation of or contribution to a party with respect to a liability where such indemnification, exculpation or contribution is contrary to public policy; and</w:t>
      </w:r>
    </w:p>
    <w:p>
      <w:pPr>
        <w:spacing w:after="0" w:line="15" w:lineRule="exact"/>
        <w:rPr>
          <w:rFonts w:ascii="Arial" w:cs="Arial" w:eastAsia="Arial" w:hAnsi="Arial"/>
          <w:sz w:val="16"/>
          <w:szCs w:val="16"/>
          <w:color w:val="auto"/>
        </w:rPr>
      </w:pPr>
    </w:p>
    <w:p>
      <w:pPr>
        <w:ind w:left="880" w:firstLine="411"/>
        <w:spacing w:after="0" w:line="286" w:lineRule="auto"/>
        <w:tabs>
          <w:tab w:leader="none" w:pos="15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we express no opinion with respect to (i) consents to, or restrictions upon, governing law, jurisdiction, venue, service of process, arbitration, remedies or judicial relief; (ii) advance waivers of claims, defenses, rights granted by law, notice, opportunity for hearing, evidentiary requirements, statutes of limitation, trial by jury or at law or other procedural rights; (iii) waivers of broadly or vaguely stated rights; (iv) covenants not to compete; (v) provisions for exclusivity, election or cumulation of rights or remedies; (vi) provisions authorizing or validating conclusive or discretionary determinations; (vii) grants of setoff rights; (viii) provisions to the effect that a guarantor is liable as a primary obligor, and not as a surety and provisions purporting to waive modifications of any guaranteed obligation to the extent such modification constitutes a novation; (ix) provisions for the payment of attorneys’ fees where such payment is contrary to law or public policy; (x) proxies, powers and trusts; (xi) provisions prohibiting, restricting, or requiring consent to assignment or transfer of any agreement, right or property; (xii) provisions for liquidated damages, default interest, late charges, monetary penalties, prepayment or make-whole premiums or other economic remedies to the extent such provisions are deemed to constitute a penalty; (xiii) provisions permitting, upon acceleration of any indebtedness, collection of that portion of the stated principal amount thereof which might be determined to constitute unearned interest thereon; (xiv) any provision of the Loan Documents that refers to, incorporates or is based upon the law of any jurisdiction other than the Commonwealth of Pennsylvania; and (xv) the severability, if invalid, of provisions to the foregoing effect.</w:t>
      </w:r>
    </w:p>
    <w:p>
      <w:pPr>
        <w:sectPr>
          <w:pgSz w:w="11900" w:h="16838" w:orient="portrait"/>
          <w:cols w:equalWidth="0" w:num="1">
            <w:col w:w="11000"/>
          </w:cols>
          <w:pgMar w:left="440" w:top="274" w:right="459" w:bottom="1440" w:gutter="0" w:footer="0" w:header="0"/>
        </w:sectPr>
      </w:pPr>
    </w:p>
    <w:bookmarkStart w:id="131" w:name="page132"/>
    <w:bookmarkEnd w:id="131"/>
    <w:p>
      <w:pPr>
        <w:ind w:right="20" w:firstLine="88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express no opinion or confirmation as to federal or state securities laws, tax laws, antitrust or trade regulation laws, insolvency or fraudulent transfer laws, antifraud laws, fiduciary duty requirements, pension or employee benefit laws, usury laws, environmental laws, margin regulations, laws and regulations relating to commodities trading, futures and swaps; Financial Industry Regulatory Authority rules; National Futures Association rules; or the rules of any stock exchange, clearing organization, designated contract market or other regulated entity for trading, processing, clearing or reporting transactions in securities, commodities, futures or swaps, export control, anti-money laundering, and anti-terrorism laws and regulations (without limiting other laws, regulations or rules excluded by customary practice).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have assumed that any conditions to the effectiveness of the Loan Documents have been satisfied or waived.</w:t>
      </w:r>
    </w:p>
    <w:p>
      <w:pPr>
        <w:spacing w:after="0" w:line="225"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The opinions expressed herein with respect to the Loan Documents address only the express terms of such documents (excluding any provisions incorporating any document or agreement, or the provisions of any other document or agreement, that is not a Loan Document, by reference) and not any other document or agreement, or the provisions of such other document or agreement, incorporated therein or made a part thereof by reference.</w:t>
      </w:r>
    </w:p>
    <w:p>
      <w:pPr>
        <w:spacing w:after="0" w:line="187" w:lineRule="exact"/>
        <w:rPr>
          <w:sz w:val="20"/>
          <w:szCs w:val="20"/>
          <w:color w:val="auto"/>
        </w:rPr>
      </w:pPr>
    </w:p>
    <w:p>
      <w:pPr>
        <w:jc w:val="both"/>
        <w:ind w:right="60" w:firstLine="881"/>
        <w:spacing w:after="0" w:line="286" w:lineRule="auto"/>
        <w:rPr>
          <w:sz w:val="20"/>
          <w:szCs w:val="20"/>
          <w:color w:val="auto"/>
        </w:rPr>
      </w:pPr>
      <w:r>
        <w:rPr>
          <w:rFonts w:ascii="Arial" w:cs="Arial" w:eastAsia="Arial" w:hAnsi="Arial"/>
          <w:sz w:val="16"/>
          <w:szCs w:val="16"/>
          <w:color w:val="auto"/>
        </w:rPr>
        <w:t>With your consent, except to the extent that I have expressly opined as to such matters with respect to the Borrower herein, I have assumed that, (a) the Loan Documents have been duly authorized, executed and delivered by the parties thereto, (b) the Loan Documents constitute legally valid and binding obligations of the parties thereto, enforceable against each of them in accordance with their respective terms, and (c) the status of the Loan Documents as legally valid and binding obligations of the parties is not affected by any (i) breaches of, or defaults under, agreements or instruments,</w:t>
      </w:r>
    </w:p>
    <w:p>
      <w:pPr>
        <w:spacing w:after="0" w:line="2" w:lineRule="exact"/>
        <w:rPr>
          <w:sz w:val="20"/>
          <w:szCs w:val="20"/>
          <w:color w:val="auto"/>
        </w:rPr>
      </w:pPr>
    </w:p>
    <w:p>
      <w:pPr>
        <w:ind w:right="360" w:firstLine="4"/>
        <w:spacing w:after="0" w:line="261" w:lineRule="auto"/>
        <w:tabs>
          <w:tab w:leader="none" w:pos="26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violations of statutes, rules, regulations or court or governmental orders, or (iii) failures to obtain required consents, approvals or authorizations from, or make required registrations, declarations or filings with, governmental authorities.</w:t>
      </w:r>
    </w:p>
    <w:p>
      <w:pPr>
        <w:spacing w:after="0" w:line="184" w:lineRule="exact"/>
        <w:rPr>
          <w:sz w:val="20"/>
          <w:szCs w:val="20"/>
          <w:color w:val="auto"/>
        </w:rPr>
      </w:pPr>
    </w:p>
    <w:p>
      <w:pPr>
        <w:ind w:firstLine="881"/>
        <w:spacing w:after="0" w:line="289" w:lineRule="auto"/>
        <w:rPr>
          <w:sz w:val="20"/>
          <w:szCs w:val="20"/>
          <w:color w:val="auto"/>
        </w:rPr>
      </w:pPr>
      <w:r>
        <w:rPr>
          <w:rFonts w:ascii="Arial" w:cs="Arial" w:eastAsia="Arial" w:hAnsi="Arial"/>
          <w:sz w:val="16"/>
          <w:szCs w:val="16"/>
          <w:color w:val="auto"/>
        </w:rPr>
        <w:t>This letter is furnished only to you and is solely for your benefit in connection with the transactions referenced in the first paragraph of this letter. This letter may not be relied upon by you for any other purpose, or furnished to, assigned to, quoted to or relied upon by any other person, firm or entity for any purpose, without our prior written consent, which may be granted or withheld in our discretion. At your request, we hereby consent to reliance hereon by any future assignee of your interest in the loans under the Credit Agreement pursuant to an assignment that is made and consented to in accordance with the express provisions of Section 8.07 of the Credit Agreement, on the condition and understanding that (i) this letter speaks only as of the date hereof, (ii) I have no responsibility or obligation to update this letter, to consider its applicability or correctness to any person or entity other than its addressee(s), or to take into account changes in law, facts or any other developments of which I may later become aware, and (iii) any such reliance by a future assignee must be actual and reasonable under the circumstances existing at the time of assignment, including any changes in law, facts or any other developments known to or reasonably knowable by the assignee at such time.</w:t>
      </w:r>
    </w:p>
    <w:p>
      <w:pPr>
        <w:spacing w:after="0" w:line="16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0960"/>
          </w:cols>
          <w:pgMar w:left="440" w:top="274" w:right="499" w:bottom="1440" w:gutter="0" w:footer="0" w:header="0"/>
        </w:sectPr>
      </w:pPr>
    </w:p>
    <w:bookmarkStart w:id="132" w:name="page133"/>
    <w:bookmarkEnd w:id="132"/>
    <w:p>
      <w:pPr>
        <w:jc w:val="center"/>
        <w:ind w:right="-476"/>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37" w:lineRule="exact"/>
        <w:rPr>
          <w:sz w:val="20"/>
          <w:szCs w:val="20"/>
          <w:color w:val="auto"/>
        </w:rPr>
      </w:pPr>
    </w:p>
    <w:p>
      <w:pPr>
        <w:ind w:left="4536"/>
        <w:spacing w:after="0"/>
        <w:rPr>
          <w:sz w:val="20"/>
          <w:szCs w:val="20"/>
          <w:color w:val="auto"/>
        </w:rPr>
      </w:pPr>
      <w:r>
        <w:rPr>
          <w:rFonts w:ascii="Arial" w:cs="Arial" w:eastAsia="Arial" w:hAnsi="Arial"/>
          <w:sz w:val="18"/>
          <w:szCs w:val="18"/>
          <w:b w:val="1"/>
          <w:bCs w:val="1"/>
          <w:color w:val="auto"/>
        </w:rPr>
        <w:t>LENDERS</w:t>
      </w:r>
    </w:p>
    <w:p>
      <w:pPr>
        <w:spacing w:after="0" w:line="256" w:lineRule="exact"/>
        <w:rPr>
          <w:sz w:val="20"/>
          <w:szCs w:val="20"/>
          <w:color w:val="auto"/>
        </w:rPr>
      </w:pPr>
    </w:p>
    <w:p>
      <w:pPr>
        <w:ind w:left="316" w:hanging="316"/>
        <w:spacing w:after="0"/>
        <w:tabs>
          <w:tab w:leader="none" w:pos="31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PNC Bank, National Association</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Citizens Bank, N.A.</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Bank of America, N.A.</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Credit Suisse AG, Cayman Islands Branch</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JPMorgan Chase Bank, N.A.</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Wells Fargo Bank, National Association</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Bank of New York Mellon</w:t>
      </w:r>
    </w:p>
    <w:p>
      <w:pPr>
        <w:sectPr>
          <w:pgSz w:w="11900" w:h="16838" w:orient="portrait"/>
          <w:cols w:equalWidth="0" w:num="1">
            <w:col w:w="9475"/>
          </w:cols>
          <w:pgMar w:left="984" w:top="270" w:right="1440" w:bottom="1440" w:gutter="0" w:footer="0" w:header="0"/>
        </w:sectPr>
      </w:pPr>
    </w:p>
    <w:bookmarkStart w:id="133" w:name="page134"/>
    <w:bookmarkEnd w:id="133"/>
    <w:p>
      <w:pPr>
        <w:jc w:val="center"/>
        <w:ind w:right="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NOTES</w:t>
      </w:r>
    </w:p>
    <w:p>
      <w:pPr>
        <w:spacing w:after="0" w:line="256" w:lineRule="exact"/>
        <w:rPr>
          <w:sz w:val="20"/>
          <w:szCs w:val="20"/>
          <w:color w:val="auto"/>
        </w:rPr>
      </w:pPr>
    </w:p>
    <w:p>
      <w:pPr>
        <w:ind w:left="320" w:hanging="316"/>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Swing Line Promissory Note, dated June 27, 2019, executed by the Borrower in favor of PNC Bank, National Association</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Revolving Credit Promissory Note, dated June 27, 2019, executed by the Borrower in favor of PNC Bank, National Association</w:t>
      </w:r>
    </w:p>
    <w:p>
      <w:pPr>
        <w:spacing w:after="0" w:line="142" w:lineRule="exact"/>
        <w:rPr>
          <w:rFonts w:ascii="Arial" w:cs="Arial" w:eastAsia="Arial" w:hAnsi="Arial"/>
          <w:sz w:val="17"/>
          <w:szCs w:val="17"/>
          <w:color w:val="auto"/>
        </w:rPr>
      </w:pPr>
    </w:p>
    <w:p>
      <w:pPr>
        <w:ind w:left="320" w:hanging="316"/>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Revolving Credit Promissory Note, dated June 27, 2019, executed by the Borrower in favor of Citizens Bank, N.A.</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Revolving Credit Promissory Note, dated June 27, 2019, executed by the Borrower in favor of Bank of America, N.A.</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Revolving Credit Promissory Note, dated June 27, 2019, executed by the Borrower in favor of Credit Suisse AG, Cayman Islands Branch</w:t>
      </w:r>
    </w:p>
    <w:p>
      <w:pPr>
        <w:spacing w:after="0" w:line="153" w:lineRule="exact"/>
        <w:rPr>
          <w:rFonts w:ascii="Arial" w:cs="Arial" w:eastAsia="Arial" w:hAnsi="Arial"/>
          <w:sz w:val="16"/>
          <w:szCs w:val="16"/>
          <w:color w:val="auto"/>
        </w:rPr>
      </w:pPr>
    </w:p>
    <w:p>
      <w:pPr>
        <w:ind w:left="320" w:hanging="316"/>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Revolving Credit Promissory Note, dated June 27, 2019, executed by the Borrower in favor of JPMorgan Chase Bank, N.A.</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Revolving Credit Promissory Note, dated June 27, 2019, executed by the Borrower in favor of Wells Fargo Bank, National Association</w:t>
      </w:r>
    </w:p>
    <w:p>
      <w:pPr>
        <w:spacing w:after="0" w:line="153" w:lineRule="exact"/>
        <w:rPr>
          <w:rFonts w:ascii="Arial" w:cs="Arial" w:eastAsia="Arial" w:hAnsi="Arial"/>
          <w:sz w:val="16"/>
          <w:szCs w:val="16"/>
          <w:color w:val="auto"/>
        </w:rPr>
      </w:pPr>
    </w:p>
    <w:p>
      <w:pPr>
        <w:ind w:left="320" w:hanging="316"/>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Revolving Credit Promissory Note, dated June 27, 2019, executed by the Borrower in favor of The Bank of New York Mellon</w:t>
      </w:r>
    </w:p>
    <w:p>
      <w:pPr>
        <w:sectPr>
          <w:pgSz w:w="11900" w:h="16838" w:orient="portrait"/>
          <w:cols w:equalWidth="0" w:num="1">
            <w:col w:w="10220"/>
          </w:cols>
          <w:pgMar w:left="980" w:top="270" w:right="699" w:bottom="1440" w:gutter="0" w:footer="0" w:header="0"/>
        </w:sectPr>
      </w:pPr>
    </w:p>
    <w:bookmarkStart w:id="134" w:name="page135"/>
    <w:bookmarkEnd w:id="134"/>
    <w:p>
      <w:pPr>
        <w:jc w:val="center"/>
        <w:ind w:right="-43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25" w:lineRule="exact"/>
        <w:rPr>
          <w:sz w:val="20"/>
          <w:szCs w:val="20"/>
          <w:color w:val="auto"/>
        </w:rPr>
      </w:pPr>
    </w:p>
    <w:p>
      <w:pPr>
        <w:ind w:left="3796"/>
        <w:spacing w:after="0"/>
        <w:rPr>
          <w:sz w:val="20"/>
          <w:szCs w:val="20"/>
          <w:color w:val="auto"/>
        </w:rPr>
      </w:pPr>
      <w:r>
        <w:rPr>
          <w:rFonts w:ascii="Arial" w:cs="Arial" w:eastAsia="Arial" w:hAnsi="Arial"/>
          <w:sz w:val="18"/>
          <w:szCs w:val="18"/>
          <w:b w:val="1"/>
          <w:bCs w:val="1"/>
          <w:color w:val="auto"/>
        </w:rPr>
        <w:t>GOVERNING DOCUMENTS</w:t>
      </w:r>
    </w:p>
    <w:p>
      <w:pPr>
        <w:spacing w:after="0" w:line="256" w:lineRule="exact"/>
        <w:rPr>
          <w:sz w:val="20"/>
          <w:szCs w:val="20"/>
          <w:color w:val="auto"/>
        </w:rPr>
      </w:pPr>
    </w:p>
    <w:p>
      <w:pPr>
        <w:ind w:left="316" w:hanging="316"/>
        <w:spacing w:after="0" w:line="277" w:lineRule="auto"/>
        <w:tabs>
          <w:tab w:leader="none" w:pos="31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Amended and Restated Articles of Incorporation of the Borrower, as certified by the Acting Secretary of the Commonwealth of Pennsylvania as of June 20, 2019</w:t>
      </w:r>
    </w:p>
    <w:p>
      <w:pPr>
        <w:spacing w:after="0" w:line="75" w:lineRule="exact"/>
        <w:rPr>
          <w:rFonts w:ascii="Arial" w:cs="Arial" w:eastAsia="Arial" w:hAnsi="Arial"/>
          <w:sz w:val="18"/>
          <w:szCs w:val="18"/>
          <w:color w:val="auto"/>
        </w:rPr>
      </w:pPr>
    </w:p>
    <w:p>
      <w:pPr>
        <w:ind w:left="316" w:hanging="316"/>
        <w:spacing w:after="0"/>
        <w:tabs>
          <w:tab w:leader="none" w:pos="31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Amended and Restated Bylaws of the Borrower, dated as of July 25, 2017</w:t>
      </w:r>
    </w:p>
    <w:p>
      <w:pPr>
        <w:sectPr>
          <w:pgSz w:w="11900" w:h="16838" w:orient="portrait"/>
          <w:cols w:equalWidth="0" w:num="1">
            <w:col w:w="9496"/>
          </w:cols>
          <w:pgMar w:left="984" w:top="270" w:right="1419" w:bottom="1440" w:gutter="0" w:footer="0" w:header="0"/>
        </w:sectPr>
      </w:pPr>
    </w:p>
    <w:bookmarkStart w:id="135" w:name="page136"/>
    <w:bookmarkEnd w:id="135"/>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U.S. TAX COMPLIANCE CERTIFICATE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211"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Reference is hereby made to that certain Credit Agreement, dated as of June 27, 2019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UGI Utilities, Inc., a Pennsylvania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from time to time party thereto PNC Bank, National Association, as Agent, and Citizens Bank, N.A., as Syndication Agent.</w:t>
      </w:r>
    </w:p>
    <w:p>
      <w:pPr>
        <w:spacing w:after="0" w:line="166"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Pursuant to the provisions of Section 2.15 of the Credit Agreement, the undersigned hereby certifies that (a) it is the sole record and beneficial owner of the Advances(s) (as well as any Note(s) evidencing such Advance(s)) in respect of which it is providing this certificate, (b) it is not a bank within the meaning of Section 881(c)(3)(A) of the Internal Revenue Code, (c) it is not a ten percent shareholder of the Borrower within the meaning of Section 871(h)(3)(B) of the Internal Revenue Code and (d) it is not a controlled foreign corporation related to the Borrower as described in Section 881(c)(3)(C) of the Internal Revenue Code.</w:t>
      </w:r>
    </w:p>
    <w:p>
      <w:pPr>
        <w:spacing w:after="0" w:line="188"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undersigned has furnished the Agent and the Borrower with a certificate of its non U.S. Person status on IRS Form W-8BEN or W-8BEN-E. By executing this certificate, the undersigned agrees that (a) if the information provided on this certificate changes, the undersigned shall promptly so inform the Borrower and the Agent, and (b)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-10160</wp:posOffset>
            </wp:positionV>
            <wp:extent cx="85725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E-1-1</w:t>
      </w:r>
    </w:p>
    <w:p>
      <w:pPr>
        <w:sectPr>
          <w:pgSz w:w="11900" w:h="16838" w:orient="portrait"/>
          <w:cols w:equalWidth="0" w:num="1">
            <w:col w:w="10980"/>
          </w:cols>
          <w:pgMar w:left="440" w:top="274" w:right="479" w:bottom="1440" w:gutter="0" w:footer="0" w:header="0"/>
        </w:sectPr>
      </w:pPr>
    </w:p>
    <w:bookmarkStart w:id="136" w:name="page137"/>
    <w:bookmarkEnd w:id="136"/>
    <w:p>
      <w:pPr>
        <w:jc w:val="center"/>
        <w:ind w:right="-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U.S. TAX COMPLIANCE CERTIFICATE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211"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Reference is hereby made to that certain Credit Agreement, dated as of June 27, 2019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UGI Utilities, Inc., a Pennsylvania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from time to time party thereto and PNC Bank, National Association, as Agent, and Citizens Bank, N.A., as Syndication Agent.</w:t>
      </w:r>
    </w:p>
    <w:p>
      <w:pPr>
        <w:spacing w:after="0" w:line="166"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Pursuant to the provisions of Section 2.15 of the Credit Agreement, the undersigned hereby certifies that (a) it is the sole record and beneficial owner of the participation in respect of which it is providing this certificate, (b) it is not a bank within the meaning of Section 881(c)(3)(A) of the Internal Revenue Code, (c) it is not a ten percent shareholder of the Borrower within the meaning of Section 871(h)(3)(B) of the Internal Revenue Code and (d) it is not a controlled foreign corporation related to the Borrower as described in Section 881(c)(3)(C) of the Internal Revenue Code.</w:t>
      </w:r>
    </w:p>
    <w:p>
      <w:pPr>
        <w:spacing w:after="0" w:line="154"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The undersigned has furnished its participating Lender with a certificate of its non U.S. Person status on IRS Form W-8BEN or W-8BEN-E. By executing this certificate, the undersigned agrees that (a) if the information provided on this certificate changes, the undersigned shall promptly so inform such Lender in writing, and (b)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PARTICIPANT]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-10160</wp:posOffset>
            </wp:positionV>
            <wp:extent cx="85725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E-2-1</w:t>
      </w:r>
    </w:p>
    <w:p>
      <w:pPr>
        <w:sectPr>
          <w:pgSz w:w="11900" w:h="16838" w:orient="portrait"/>
          <w:cols w:equalWidth="0" w:num="1">
            <w:col w:w="10940"/>
          </w:cols>
          <w:pgMar w:left="440" w:top="274" w:right="519" w:bottom="1440" w:gutter="0" w:footer="0" w:header="0"/>
        </w:sectPr>
      </w:pPr>
    </w:p>
    <w:bookmarkStart w:id="137" w:name="page138"/>
    <w:bookmarkEnd w:id="137"/>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U.S. TAX COMPLIANCE CERTIFICATE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211"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Reference is hereby made to that certain Credit Agreement, dated as of June 27, 2019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UGI Utilities, Inc., a Pennsylvania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from time to time party thereto and PNC Bank, National Association, as Agent, and Citizens Bank, N.A., as Syndication Agent.</w:t>
      </w:r>
    </w:p>
    <w:p>
      <w:pPr>
        <w:spacing w:after="0" w:line="166" w:lineRule="exact"/>
        <w:rPr>
          <w:sz w:val="20"/>
          <w:szCs w:val="20"/>
          <w:color w:val="auto"/>
        </w:rPr>
      </w:pPr>
    </w:p>
    <w:p>
      <w:pPr>
        <w:ind w:right="100" w:firstLine="441"/>
        <w:spacing w:after="0" w:line="285" w:lineRule="auto"/>
        <w:rPr>
          <w:sz w:val="20"/>
          <w:szCs w:val="20"/>
          <w:color w:val="auto"/>
        </w:rPr>
      </w:pPr>
      <w:r>
        <w:rPr>
          <w:rFonts w:ascii="Arial" w:cs="Arial" w:eastAsia="Arial" w:hAnsi="Arial"/>
          <w:sz w:val="16"/>
          <w:szCs w:val="16"/>
          <w:color w:val="auto"/>
        </w:rPr>
        <w:t>Pursuant to the provisions of Section 2.15 of the Credit Agreement, the undersigned hereby certifies that (a) it is the sole record owner of the participation in respect of which it is providing this certificate, (b) its direct or indirect partners/members are the sole beneficial owners of such participation, (c) with respect such participation, neither the undersigned nor any of its direct or indirect partners/members is a bank extending credit pursuant to a loan agreement entered into in the ordinary course of its trade or business within the meaning of Section 881(c)(3)(A) of the Internal Revenue Code, (d) none of its direct or indirect partners/members is a ten percent shareholder of the Borrower within the meaning of Section 871(h)(3)</w:t>
      </w:r>
    </w:p>
    <w:p>
      <w:pPr>
        <w:spacing w:after="0" w:line="2" w:lineRule="exact"/>
        <w:rPr>
          <w:sz w:val="20"/>
          <w:szCs w:val="20"/>
          <w:color w:val="auto"/>
        </w:rPr>
      </w:pPr>
    </w:p>
    <w:p>
      <w:pPr>
        <w:ind w:right="240" w:firstLine="4"/>
        <w:spacing w:after="0" w:line="261" w:lineRule="auto"/>
        <w:tabs>
          <w:tab w:leader="none" w:pos="28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of the Internal Revenue Code and (e) none of its direct or indirect partners/members is a controlled foreign corporation related to the Borrower as described in Section 881(c)(3)(C) of the Internal Revenue Code.</w:t>
      </w:r>
    </w:p>
    <w:p>
      <w:pPr>
        <w:spacing w:after="0" w:line="184"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The undersigned has furnished its participating Lender with IRS Form W-8IMY accompanied by one of the following forms from each of its partners/members that is claiming the portfolio interest exemption: (a) an IRS Form W-8BEN or W-8BEN-E or (b)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65"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PARTICIPANT]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-10160</wp:posOffset>
            </wp:positionV>
            <wp:extent cx="8572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E-3-1</w:t>
      </w:r>
    </w:p>
    <w:p>
      <w:pPr>
        <w:sectPr>
          <w:pgSz w:w="11900" w:h="16838" w:orient="portrait"/>
          <w:cols w:equalWidth="0" w:num="1">
            <w:col w:w="11000"/>
          </w:cols>
          <w:pgMar w:left="440" w:top="274" w:right="459" w:bottom="1440" w:gutter="0" w:footer="0" w:header="0"/>
        </w:sectPr>
      </w:pPr>
    </w:p>
    <w:bookmarkStart w:id="138" w:name="page139"/>
    <w:bookmarkEnd w:id="138"/>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U.S. TAX COMPLIANCE CERTIFICATE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211"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Reference is hereby made to that certain Credit Agreement, dated as of June 27, 2019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UGI Utilities, Inc., a Pennsylvania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from time to time party thereto and PNC Bank, National Association, as Agent, and Citizens Bank, N.A., as Syndication Agent.</w:t>
      </w:r>
    </w:p>
    <w:p>
      <w:pPr>
        <w:spacing w:after="0" w:line="166"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Pursuant to the provisions of Section 2.15 of the Credit Agreement, the undersigned hereby certifies that (a) it is the sole record owner of the Advance(s) (as well as any Note(s) evidencing such Advance(s)) in respect of which it is providing this certificate, (b) its direct or indirect partners/members are the sole beneficial owners of such Advance(s) (as well as any Note(s) evidencing such Advance(s)), (c)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Internal Revenue Code, (d) none of its direct or indirect partners/members is a ten percent shareholder of the Borrower within the meaning of Section 871(h)(3)(B) of the Internal Revenue Code and (e) none of its direct or indirect partners/members is a controlled foreign corporation related to the Borrower as described in Section 881(c)(3)(C) of the Internal Revenue Code.</w:t>
      </w:r>
    </w:p>
    <w:p>
      <w:pPr>
        <w:spacing w:after="0" w:line="17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undersigned has furnished the Agent and the Borrower with IRS Form W-8IMY accompanied by one of the following forms from each of its partners/members that is claiming the portfolio interest exemption: (a)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Agent, and (2)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E-4-1</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1)"/>
      <w:numFmt w:val="decimal"/>
      <w:start w:val="2"/>
    </w:lvl>
  </w:abstractNum>
  <w:abstractNum w:abstractNumId="2">
    <w:nsid w:val="42C296BD"/>
    <w:multiLevelType w:val="hybridMultilevel"/>
    <w:lvl w:ilvl="0">
      <w:lvlJc w:val="left"/>
      <w:lvlText w:val="(%1)"/>
      <w:numFmt w:val="lowerLetter"/>
      <w:start w:val="4"/>
    </w:lvl>
  </w:abstractNum>
  <w:abstractNum w:abstractNumId="3">
    <w:nsid w:val="168E121F"/>
    <w:multiLevelType w:val="hybridMultilevel"/>
    <w:lvl w:ilvl="0">
      <w:lvlJc w:val="left"/>
      <w:lvlText w:val="(%1)"/>
      <w:numFmt w:val="lowerLetter"/>
      <w:start w:val="8"/>
    </w:lvl>
  </w:abstractNum>
  <w:abstractNum w:abstractNumId="4">
    <w:nsid w:val="1EBA5D23"/>
    <w:multiLevelType w:val="hybridMultilevel"/>
    <w:lvl w:ilvl="0">
      <w:lvlJc w:val="left"/>
      <w:lvlText w:val="(%1)"/>
      <w:numFmt w:val="decimal"/>
      <w:start w:val="4"/>
    </w:lvl>
  </w:abstractNum>
  <w:abstractNum w:abstractNumId="5">
    <w:nsid w:val="661E3F1E"/>
    <w:multiLevelType w:val="hybridMultilevel"/>
    <w:lvl w:ilvl="0">
      <w:lvlJc w:val="left"/>
      <w:lvlText w:val="(%1)"/>
      <w:numFmt w:val="lowerRoman"/>
      <w:start w:val="2"/>
    </w:lvl>
  </w:abstractNum>
  <w:abstractNum w:abstractNumId="6">
    <w:nsid w:val="5DC79EA8"/>
    <w:multiLevelType w:val="hybridMultilevel"/>
    <w:lvl w:ilvl="0">
      <w:lvlJc w:val="left"/>
      <w:lvlText w:val="(%1)"/>
      <w:numFmt w:val="lowerLetter"/>
      <w:start w:val="1"/>
    </w:lvl>
  </w:abstractNum>
  <w:abstractNum w:abstractNumId="7">
    <w:nsid w:val="540A471C"/>
    <w:multiLevelType w:val="hybridMultilevel"/>
    <w:lvl w:ilvl="0">
      <w:lvlJc w:val="left"/>
      <w:lvlText w:val="(%1)"/>
      <w:numFmt w:val="lowerLetter"/>
      <w:start w:val="1"/>
    </w:lvl>
  </w:abstractNum>
  <w:abstractNum w:abstractNumId="8">
    <w:nsid w:val="7BD3EE7B"/>
    <w:multiLevelType w:val="hybridMultilevel"/>
    <w:lvl w:ilvl="0">
      <w:lvlJc w:val="left"/>
      <w:lvlText w:val="(%1)"/>
      <w:numFmt w:val="lowerLetter"/>
      <w:start w:val="1"/>
    </w:lvl>
  </w:abstractNum>
  <w:abstractNum w:abstractNumId="9">
    <w:nsid w:val="51D9C564"/>
    <w:multiLevelType w:val="hybridMultilevel"/>
    <w:lvl w:ilvl="0">
      <w:lvlJc w:val="left"/>
      <w:lvlText w:val="(%1)"/>
      <w:numFmt w:val="lowerLetter"/>
      <w:start w:val="2"/>
    </w:lvl>
  </w:abstractNum>
  <w:abstractNum w:abstractNumId="10">
    <w:nsid w:val="613EFDC5"/>
    <w:multiLevelType w:val="hybridMultilevel"/>
    <w:lvl w:ilvl="0">
      <w:lvlJc w:val="left"/>
      <w:lvlText w:val="(%1)"/>
      <w:numFmt w:val="lowerLetter"/>
      <w:start w:val="1"/>
    </w:lvl>
  </w:abstractNum>
  <w:abstractNum w:abstractNumId="11">
    <w:nsid w:val="BF72B14"/>
    <w:multiLevelType w:val="hybridMultilevel"/>
    <w:lvl w:ilvl="0">
      <w:lvlJc w:val="left"/>
      <w:lvlText w:val="%1"/>
      <w:numFmt w:val="lowerLetter"/>
      <w:start w:val="1"/>
    </w:lvl>
    <w:lvl w:ilvl="1">
      <w:lvlJc w:val="left"/>
      <w:lvlText w:val="(%2)"/>
      <w:numFmt w:val="lowerLetter"/>
      <w:start w:val="2"/>
    </w:lvl>
  </w:abstractNum>
  <w:abstractNum w:abstractNumId="12">
    <w:nsid w:val="11447B73"/>
    <w:multiLevelType w:val="hybridMultilevel"/>
    <w:lvl w:ilvl="0">
      <w:lvlJc w:val="left"/>
      <w:lvlText w:val="(%1)"/>
      <w:numFmt w:val="lowerLetter"/>
      <w:start w:val="35"/>
    </w:lvl>
    <w:lvl w:ilvl="1">
      <w:lvlJc w:val="left"/>
      <w:lvlText w:val="%2"/>
      <w:numFmt w:val="lowerLetter"/>
      <w:start w:val="1"/>
    </w:lvl>
  </w:abstractNum>
  <w:abstractNum w:abstractNumId="13">
    <w:nsid w:val="42963E5A"/>
    <w:multiLevelType w:val="hybridMultilevel"/>
    <w:lvl w:ilvl="0">
      <w:lvlJc w:val="left"/>
      <w:lvlText w:val="(%1)"/>
      <w:numFmt w:val="lowerLetter"/>
      <w:start w:val="3"/>
    </w:lvl>
  </w:abstractNum>
  <w:abstractNum w:abstractNumId="14">
    <w:nsid w:val="A0382C5"/>
    <w:multiLevelType w:val="hybridMultilevel"/>
    <w:lvl w:ilvl="0">
      <w:lvlJc w:val="left"/>
      <w:lvlText w:val="%1"/>
      <w:numFmt w:val="lowerLetter"/>
      <w:start w:val="1"/>
    </w:lvl>
    <w:lvl w:ilvl="1">
      <w:lvlJc w:val="left"/>
      <w:lvlText w:val="(%2)"/>
      <w:numFmt w:val="lowerLetter"/>
      <w:start w:val="1"/>
    </w:lvl>
  </w:abstractNum>
  <w:abstractNum w:abstractNumId="15">
    <w:nsid w:val="8F2B15E"/>
    <w:multiLevelType w:val="hybridMultilevel"/>
    <w:lvl w:ilvl="0">
      <w:lvlJc w:val="left"/>
      <w:lvlText w:val="(%1)"/>
      <w:numFmt w:val="lowerLetter"/>
      <w:start w:val="1"/>
    </w:lvl>
    <w:lvl w:ilvl="1">
      <w:lvlJc w:val="left"/>
      <w:lvlText w:val="%2"/>
      <w:numFmt w:val="lowerLetter"/>
      <w:start w:val="1"/>
    </w:lvl>
  </w:abstractNum>
  <w:abstractNum w:abstractNumId="16">
    <w:nsid w:val="1A32234B"/>
    <w:multiLevelType w:val="hybridMultilevel"/>
    <w:lvl w:ilvl="0">
      <w:lvlJc w:val="left"/>
      <w:lvlText w:val="(%1)"/>
      <w:numFmt w:val="lowerLetter"/>
      <w:start w:val="5"/>
    </w:lvl>
  </w:abstractNum>
  <w:abstractNum w:abstractNumId="17">
    <w:nsid w:val="3B0FD379"/>
    <w:multiLevelType w:val="hybridMultilevel"/>
    <w:lvl w:ilvl="0">
      <w:lvlJc w:val="left"/>
      <w:lvlText w:val="(%1)"/>
      <w:numFmt w:val="lowerLetter"/>
      <w:start w:val="1"/>
    </w:lvl>
  </w:abstractNum>
  <w:abstractNum w:abstractNumId="18">
    <w:nsid w:val="68EB2F63"/>
    <w:multiLevelType w:val="hybridMultilevel"/>
    <w:lvl w:ilvl="0">
      <w:lvlJc w:val="left"/>
      <w:lvlText w:val="(%1)"/>
      <w:numFmt w:val="lowerLetter"/>
      <w:start w:val="2"/>
    </w:lvl>
  </w:abstractNum>
  <w:abstractNum w:abstractNumId="19">
    <w:nsid w:val="4962813B"/>
    <w:multiLevelType w:val="hybridMultilevel"/>
    <w:lvl w:ilvl="0">
      <w:lvlJc w:val="left"/>
      <w:lvlText w:val="(%1)"/>
      <w:numFmt w:val="lowerLetter"/>
      <w:start w:val="5"/>
    </w:lvl>
  </w:abstractNum>
  <w:abstractNum w:abstractNumId="20">
    <w:nsid w:val="60B6DF70"/>
    <w:multiLevelType w:val="hybridMultilevel"/>
    <w:lvl w:ilvl="0">
      <w:lvlJc w:val="left"/>
      <w:lvlText w:val="(%1)"/>
      <w:numFmt w:val="lowerLetter"/>
      <w:start w:val="7"/>
    </w:lvl>
  </w:abstractNum>
  <w:abstractNum w:abstractNumId="21">
    <w:nsid w:val="6A5EE64"/>
    <w:multiLevelType w:val="hybridMultilevel"/>
    <w:lvl w:ilvl="0">
      <w:lvlJc w:val="left"/>
      <w:lvlText w:val="(%1)"/>
      <w:numFmt w:val="lowerLetter"/>
      <w:start w:val="1"/>
    </w:lvl>
  </w:abstractNum>
  <w:abstractNum w:abstractNumId="22">
    <w:nsid w:val="14330624"/>
    <w:multiLevelType w:val="hybridMultilevel"/>
    <w:lvl w:ilvl="0">
      <w:lvlJc w:val="left"/>
      <w:lvlText w:val="(%1)"/>
      <w:numFmt w:val="decimal"/>
      <w:start w:val="5"/>
    </w:lvl>
    <w:lvl w:ilvl="1">
      <w:lvlJc w:val="left"/>
      <w:lvlText w:val="(%2)"/>
      <w:numFmt w:val="lowerLetter"/>
      <w:start w:val="2"/>
    </w:lvl>
  </w:abstractNum>
  <w:abstractNum w:abstractNumId="23">
    <w:nsid w:val="7FFFCA11"/>
    <w:multiLevelType w:val="hybridMultilevel"/>
    <w:lvl w:ilvl="0">
      <w:lvlJc w:val="left"/>
      <w:lvlText w:val="%1"/>
      <w:numFmt w:val="lowerRoman"/>
      <w:start w:val="1"/>
    </w:lvl>
    <w:lvl w:ilvl="1">
      <w:lvlJc w:val="left"/>
      <w:lvlText w:val="(%2)"/>
      <w:numFmt w:val="lowerLetter"/>
      <w:start w:val="3"/>
    </w:lvl>
  </w:abstractNum>
  <w:abstractNum w:abstractNumId="24">
    <w:nsid w:val="1A27709E"/>
    <w:multiLevelType w:val="hybridMultilevel"/>
    <w:lvl w:ilvl="0">
      <w:lvlJc w:val="left"/>
      <w:lvlText w:val="(%1)"/>
      <w:numFmt w:val="lowerRoman"/>
      <w:start w:val="1"/>
    </w:lvl>
    <w:lvl w:ilvl="1">
      <w:lvlJc w:val="left"/>
      <w:lvlText w:val="%2"/>
      <w:numFmt w:val="lowerLetter"/>
      <w:start w:val="1"/>
    </w:lvl>
  </w:abstractNum>
  <w:abstractNum w:abstractNumId="25">
    <w:nsid w:val="71EA1109"/>
    <w:multiLevelType w:val="hybridMultilevel"/>
    <w:lvl w:ilvl="0">
      <w:lvlJc w:val="left"/>
      <w:lvlText w:val="%1"/>
      <w:numFmt w:val="lowerLetter"/>
      <w:start w:val="1"/>
    </w:lvl>
    <w:lvl w:ilvl="1">
      <w:lvlJc w:val="left"/>
      <w:lvlText w:val="(%2)"/>
      <w:numFmt w:val="lowerLetter"/>
      <w:start w:val="61"/>
    </w:lvl>
  </w:abstractNum>
  <w:abstractNum w:abstractNumId="26">
    <w:nsid w:val="100F59DC"/>
    <w:multiLevelType w:val="hybridMultilevel"/>
    <w:lvl w:ilvl="0">
      <w:lvlJc w:val="left"/>
      <w:lvlText w:val="(%1)"/>
      <w:numFmt w:val="lowerLetter"/>
      <w:start w:val="4"/>
    </w:lvl>
    <w:lvl w:ilvl="1">
      <w:lvlJc w:val="left"/>
      <w:lvlText w:val="(%2)"/>
      <w:numFmt w:val="lowerLetter"/>
      <w:start w:val="9"/>
    </w:lvl>
  </w:abstractNum>
  <w:abstractNum w:abstractNumId="27">
    <w:nsid w:val="7FB7E0AA"/>
    <w:multiLevelType w:val="hybridMultilevel"/>
    <w:lvl w:ilvl="0">
      <w:lvlJc w:val="left"/>
      <w:lvlText w:val="(%1)"/>
      <w:numFmt w:val="lowerRoman"/>
      <w:start w:val="2"/>
    </w:lvl>
  </w:abstractNum>
  <w:abstractNum w:abstractNumId="28">
    <w:nsid w:val="6EB5BD4"/>
    <w:multiLevelType w:val="hybridMultilevel"/>
    <w:lvl w:ilvl="0">
      <w:lvlJc w:val="left"/>
      <w:lvlText w:val="%1"/>
      <w:numFmt w:val="lowerRoman"/>
      <w:start w:val="1"/>
    </w:lvl>
    <w:lvl w:ilvl="1">
      <w:lvlJc w:val="left"/>
      <w:lvlText w:val="(%2)"/>
      <w:numFmt w:val="lowerLetter"/>
      <w:start w:val="5"/>
    </w:lvl>
  </w:abstractNum>
  <w:abstractNum w:abstractNumId="29">
    <w:nsid w:val="6F6DD9AC"/>
    <w:multiLevelType w:val="hybridMultilevel"/>
    <w:lvl w:ilvl="0">
      <w:lvlJc w:val="left"/>
      <w:lvlText w:val="(%1)"/>
      <w:numFmt w:val="lowerRoman"/>
      <w:start w:val="1"/>
    </w:lvl>
    <w:lvl w:ilvl="1">
      <w:lvlJc w:val="left"/>
      <w:lvlText w:val="%2"/>
      <w:numFmt w:val="lowerLetter"/>
      <w:start w:val="1"/>
    </w:lvl>
  </w:abstractNum>
  <w:abstractNum w:abstractNumId="30">
    <w:nsid w:val="94211F2"/>
    <w:multiLevelType w:val="hybridMultilevel"/>
    <w:lvl w:ilvl="0">
      <w:lvlJc w:val="left"/>
      <w:lvlText w:val="(%1)"/>
      <w:numFmt w:val="lowerRoman"/>
      <w:start w:val="5"/>
    </w:lvl>
  </w:abstractNum>
  <w:abstractNum w:abstractNumId="31">
    <w:nsid w:val="885E1B"/>
    <w:multiLevelType w:val="hybridMultilevel"/>
    <w:lvl w:ilvl="0">
      <w:lvlJc w:val="left"/>
      <w:lvlText w:val="%1"/>
      <w:numFmt w:val="lowerRoman"/>
      <w:start w:val="1"/>
    </w:lvl>
    <w:lvl w:ilvl="1">
      <w:lvlJc w:val="left"/>
      <w:lvlText w:val="(%2)"/>
      <w:numFmt w:val="lowerLetter"/>
      <w:start w:val="8"/>
    </w:lvl>
  </w:abstractNum>
  <w:abstractNum w:abstractNumId="32">
    <w:nsid w:val="76272110"/>
    <w:multiLevelType w:val="hybridMultilevel"/>
    <w:lvl w:ilvl="0">
      <w:lvlJc w:val="left"/>
      <w:lvlText w:val="(%1)"/>
      <w:numFmt w:val="lowerRoman"/>
      <w:start w:val="6"/>
    </w:lvl>
    <w:lvl w:ilvl="1">
      <w:lvlJc w:val="left"/>
      <w:lvlText w:val="%2"/>
      <w:numFmt w:val="lowerLetter"/>
      <w:start w:val="1"/>
    </w:lvl>
  </w:abstractNum>
  <w:abstractNum w:abstractNumId="33">
    <w:nsid w:val="4C04A8AF"/>
    <w:multiLevelType w:val="hybridMultilevel"/>
    <w:lvl w:ilvl="0">
      <w:lvlJc w:val="left"/>
      <w:lvlText w:val="(%1)"/>
      <w:numFmt w:val="lowerRoman"/>
      <w:start w:val="8"/>
    </w:lvl>
    <w:lvl w:ilvl="1">
      <w:lvlJc w:val="left"/>
      <w:lvlText w:val="%2"/>
      <w:numFmt w:val="lowerLetter"/>
      <w:start w:val="1"/>
    </w:lvl>
  </w:abstractNum>
  <w:abstractNum w:abstractNumId="34">
    <w:nsid w:val="1716703B"/>
    <w:multiLevelType w:val="hybridMultilevel"/>
    <w:lvl w:ilvl="0">
      <w:lvlJc w:val="left"/>
      <w:lvlText w:val="(%1)"/>
      <w:numFmt w:val="lowerRoman"/>
      <w:start w:val="1"/>
    </w:lvl>
  </w:abstractNum>
  <w:abstractNum w:abstractNumId="35">
    <w:nsid w:val="14E17E33"/>
    <w:multiLevelType w:val="hybridMultilevel"/>
    <w:lvl w:ilvl="0">
      <w:lvlJc w:val="left"/>
      <w:lvlText w:val="(%1)"/>
      <w:numFmt w:val="lowerLetter"/>
      <w:start w:val="1"/>
    </w:lvl>
  </w:abstractNum>
  <w:abstractNum w:abstractNumId="36">
    <w:nsid w:val="3222E7CD"/>
    <w:multiLevelType w:val="hybridMultilevel"/>
    <w:lvl w:ilvl="0">
      <w:lvlJc w:val="left"/>
      <w:lvlText w:val="(%1)"/>
      <w:numFmt w:val="lowerLetter"/>
      <w:start w:val="1"/>
    </w:lvl>
    <w:lvl w:ilvl="1">
      <w:lvlJc w:val="left"/>
      <w:lvlText w:val="(%2)"/>
      <w:numFmt w:val="lowerRoman"/>
      <w:start w:val="1"/>
    </w:lvl>
  </w:abstractNum>
  <w:abstractNum w:abstractNumId="37">
    <w:nsid w:val="74DE0EE3"/>
    <w:multiLevelType w:val="hybridMultilevel"/>
    <w:lvl w:ilvl="0">
      <w:lvlJc w:val="left"/>
      <w:lvlText w:val="(%1)"/>
      <w:numFmt w:val="lowerLetter"/>
      <w:start w:val="1"/>
    </w:lvl>
  </w:abstractNum>
  <w:abstractNum w:abstractNumId="38">
    <w:nsid w:val="68EBC55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9">
    <w:nsid w:val="2DF6D648"/>
    <w:multiLevelType w:val="hybridMultilevel"/>
    <w:lvl w:ilvl="0">
      <w:lvlJc w:val="left"/>
      <w:lvlText w:val="(%1)"/>
      <w:numFmt w:val="lowerLetter"/>
      <w:start w:val="7"/>
    </w:lvl>
    <w:lvl w:ilvl="1">
      <w:lvlJc w:val="left"/>
      <w:lvlText w:val="(%2)"/>
      <w:numFmt w:val="lowerLetter"/>
      <w:start w:val="35"/>
    </w:lvl>
    <w:lvl w:ilvl="2">
      <w:lvlJc w:val="left"/>
      <w:lvlText w:val="%3"/>
      <w:numFmt w:val="upperLetter"/>
      <w:start w:val="1"/>
    </w:lvl>
  </w:abstractNum>
  <w:abstractNum w:abstractNumId="40">
    <w:nsid w:val="46B7D447"/>
    <w:multiLevelType w:val="hybridMultilevel"/>
    <w:lvl w:ilvl="0">
      <w:lvlJc w:val="left"/>
      <w:lvlText w:val="(%1)"/>
      <w:numFmt w:val="lowerRoman"/>
      <w:start w:val="3"/>
    </w:lvl>
  </w:abstractNum>
  <w:abstractNum w:abstractNumId="41">
    <w:nsid w:val="4A2AC315"/>
    <w:multiLevelType w:val="hybridMultilevel"/>
    <w:lvl w:ilvl="0">
      <w:lvlJc w:val="left"/>
      <w:lvlText w:val="(%1)"/>
      <w:numFmt w:val="lowerLetter"/>
      <w:start w:val="25"/>
    </w:lvl>
  </w:abstractNum>
  <w:abstractNum w:abstractNumId="42">
    <w:nsid w:val="39EE015C"/>
    <w:multiLevelType w:val="hybridMultilevel"/>
    <w:lvl w:ilvl="0">
      <w:lvlJc w:val="left"/>
      <w:lvlText w:val="(%1)"/>
      <w:numFmt w:val="lowerLetter"/>
      <w:start w:val="35"/>
    </w:lvl>
  </w:abstractNum>
  <w:abstractNum w:abstractNumId="43">
    <w:nsid w:val="57FC4FBB"/>
    <w:multiLevelType w:val="hybridMultilevel"/>
    <w:lvl w:ilvl="0">
      <w:lvlJc w:val="left"/>
      <w:lvlText w:val="(%1)"/>
      <w:numFmt w:val="lowerLetter"/>
      <w:start w:val="1"/>
    </w:lvl>
    <w:lvl w:ilvl="1">
      <w:lvlJc w:val="left"/>
      <w:lvlText w:val="(%2)"/>
      <w:numFmt w:val="lowerRoman"/>
      <w:start w:val="1"/>
    </w:lvl>
  </w:abstractNum>
  <w:abstractNum w:abstractNumId="44">
    <w:nsid w:val="CC1016F"/>
    <w:multiLevelType w:val="hybridMultilevel"/>
    <w:lvl w:ilvl="0">
      <w:lvlJc w:val="left"/>
      <w:lvlText w:val="%1"/>
      <w:numFmt w:val="decimal"/>
      <w:start w:val="1"/>
    </w:lvl>
    <w:lvl w:ilvl="1">
      <w:lvlJc w:val="left"/>
      <w:lvlText w:val="(%2)"/>
      <w:numFmt w:val="lowerLetter"/>
      <w:start w:val="2"/>
    </w:lvl>
  </w:abstractNum>
  <w:abstractNum w:abstractNumId="45">
    <w:nsid w:val="43F18422"/>
    <w:multiLevelType w:val="hybridMultilevel"/>
    <w:lvl w:ilvl="0">
      <w:lvlJc w:val="left"/>
      <w:lvlText w:val="(%1)"/>
      <w:numFmt w:val="decimal"/>
      <w:start w:val="9"/>
    </w:lvl>
    <w:lvl w:ilvl="1">
      <w:lvlJc w:val="left"/>
      <w:lvlText w:val="%2"/>
      <w:numFmt w:val="lowerLetter"/>
      <w:start w:val="1"/>
    </w:lvl>
  </w:abstractNum>
  <w:abstractNum w:abstractNumId="46">
    <w:nsid w:val="60EF0119"/>
    <w:multiLevelType w:val="hybridMultilevel"/>
    <w:lvl w:ilvl="0">
      <w:lvlJc w:val="left"/>
      <w:lvlText w:val="(%1)"/>
      <w:numFmt w:val="lowerLetter"/>
      <w:start w:val="1"/>
    </w:lvl>
  </w:abstractNum>
  <w:abstractNum w:abstractNumId="47">
    <w:nsid w:val="26F324BA"/>
    <w:multiLevelType w:val="hybridMultilevel"/>
    <w:lvl w:ilvl="0">
      <w:lvlJc w:val="left"/>
      <w:lvlText w:val="(%1)"/>
      <w:numFmt w:val="lowerLetter"/>
      <w:start w:val="4"/>
    </w:lvl>
  </w:abstractNum>
  <w:abstractNum w:abstractNumId="48">
    <w:nsid w:val="7F01579B"/>
    <w:multiLevelType w:val="hybridMultilevel"/>
    <w:lvl w:ilvl="0">
      <w:lvlJc w:val="left"/>
      <w:lvlText w:val="(%1)"/>
      <w:numFmt w:val="lowerLetter"/>
      <w:start w:val="1"/>
    </w:lvl>
  </w:abstractNum>
  <w:abstractNum w:abstractNumId="49">
    <w:nsid w:val="49DA307D"/>
    <w:multiLevelType w:val="hybridMultilevel"/>
    <w:lvl w:ilvl="0">
      <w:lvlJc w:val="left"/>
      <w:lvlText w:val="(%1)"/>
      <w:numFmt w:val="lowerLetter"/>
      <w:start w:val="4"/>
    </w:lvl>
  </w:abstractNum>
  <w:abstractNum w:abstractNumId="50">
    <w:nsid w:val="7055A5F5"/>
    <w:multiLevelType w:val="hybridMultilevel"/>
    <w:lvl w:ilvl="0">
      <w:lvlJc w:val="left"/>
      <w:lvlText w:val="(%1)"/>
      <w:numFmt w:val="lowerLetter"/>
      <w:start w:val="7"/>
    </w:lvl>
    <w:lvl w:ilvl="1">
      <w:lvlJc w:val="left"/>
      <w:lvlText w:val="(%2)"/>
      <w:numFmt w:val="lowerLetter"/>
      <w:start w:val="9"/>
    </w:lvl>
  </w:abstractNum>
  <w:abstractNum w:abstractNumId="51">
    <w:nsid w:val="5FB8370B"/>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9"/>
    </w:lvl>
    <w:lvl w:ilvl="3">
      <w:lvlJc w:val="left"/>
      <w:lvlText w:val="(%4)"/>
      <w:numFmt w:val="lowerRoman"/>
      <w:start w:val="1"/>
    </w:lvl>
  </w:abstractNum>
  <w:abstractNum w:abstractNumId="52">
    <w:nsid w:val="50801EE1"/>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lvl w:ilvl="3">
      <w:lvlJc w:val="left"/>
      <w:lvlText w:val="(%4)"/>
      <w:numFmt w:val="lowerRoman"/>
      <w:start w:val="2"/>
    </w:lvl>
  </w:abstractNum>
  <w:abstractNum w:abstractNumId="53">
    <w:nsid w:val="488AC1A"/>
    <w:multiLevelType w:val="hybridMultilevel"/>
    <w:lvl w:ilvl="0">
      <w:lvlJc w:val="left"/>
      <w:lvlText w:val="%1"/>
      <w:numFmt w:val="upperLetter"/>
      <w:start w:val="1"/>
    </w:lvl>
    <w:lvl w:ilvl="1">
      <w:lvlJc w:val="left"/>
      <w:lvlText w:val="(%2)"/>
      <w:numFmt w:val="lowerRoman"/>
      <w:start w:val="4"/>
    </w:lvl>
  </w:abstractNum>
  <w:abstractNum w:abstractNumId="54">
    <w:nsid w:val="5FB8011C"/>
    <w:multiLevelType w:val="hybridMultilevel"/>
    <w:lvl w:ilvl="0">
      <w:lvlJc w:val="left"/>
      <w:lvlText w:val="(%1)"/>
      <w:numFmt w:val="upperLetter"/>
      <w:start w:val="3"/>
    </w:lvl>
    <w:lvl w:ilvl="1">
      <w:lvlJc w:val="left"/>
      <w:lvlText w:val="%2"/>
      <w:numFmt w:val="lowerRoman"/>
      <w:start w:val="1"/>
    </w:lvl>
  </w:abstractNum>
  <w:abstractNum w:abstractNumId="55">
    <w:nsid w:val="6AA78F7F"/>
    <w:multiLevelType w:val="hybridMultilevel"/>
    <w:lvl w:ilvl="0">
      <w:lvlJc w:val="left"/>
      <w:lvlText w:val="(%1)"/>
      <w:numFmt w:val="lowerLetter"/>
      <w:start w:val="8"/>
    </w:lvl>
  </w:abstractNum>
  <w:abstractNum w:abstractNumId="56">
    <w:nsid w:val="7672BD23"/>
    <w:multiLevelType w:val="hybridMultilevel"/>
    <w:lvl w:ilvl="0">
      <w:lvlJc w:val="left"/>
      <w:lvlText w:val="(%1)"/>
      <w:numFmt w:val="lowerRoman"/>
      <w:start w:val="1"/>
    </w:lvl>
  </w:abstractNum>
  <w:abstractNum w:abstractNumId="57">
    <w:nsid w:val="6FC75AF8"/>
    <w:multiLevelType w:val="hybridMultilevel"/>
    <w:lvl w:ilvl="0">
      <w:lvlJc w:val="left"/>
      <w:lvlText w:val="(%1)"/>
      <w:numFmt w:val="lowerLetter"/>
      <w:start w:val="1"/>
    </w:lvl>
  </w:abstractNum>
  <w:abstractNum w:abstractNumId="58">
    <w:nsid w:val="6A5F7029"/>
    <w:multiLevelType w:val="hybridMultilevel"/>
    <w:lvl w:ilvl="0">
      <w:lvlJc w:val="left"/>
      <w:lvlText w:val="(%1)"/>
      <w:numFmt w:val="lowerLetter"/>
      <w:start w:val="2"/>
    </w:lvl>
  </w:abstractNum>
  <w:abstractNum w:abstractNumId="59">
    <w:nsid w:val="7D5E18F8"/>
    <w:multiLevelType w:val="hybridMultilevel"/>
    <w:lvl w:ilvl="0">
      <w:lvlJc w:val="left"/>
      <w:lvlText w:val="(%1)"/>
      <w:numFmt w:val="lowerLetter"/>
      <w:start w:val="2"/>
    </w:lvl>
  </w:abstractNum>
  <w:abstractNum w:abstractNumId="60">
    <w:nsid w:val="5F3534A4"/>
    <w:multiLevelType w:val="hybridMultilevel"/>
    <w:lvl w:ilvl="0">
      <w:lvlJc w:val="left"/>
      <w:lvlText w:val="(%1)"/>
      <w:numFmt w:val="lowerLetter"/>
      <w:start w:val="3"/>
    </w:lvl>
    <w:lvl w:ilvl="1">
      <w:lvlJc w:val="left"/>
      <w:lvlText w:val="(%2)"/>
      <w:numFmt w:val="lowerRoman"/>
      <w:start w:val="1"/>
    </w:lvl>
  </w:abstractNum>
  <w:abstractNum w:abstractNumId="61">
    <w:nsid w:val="73A1821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62">
    <w:nsid w:val="7DE67713"/>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63">
    <w:nsid w:val="555C55B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64">
    <w:nsid w:val="3FA62ACA"/>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65">
    <w:nsid w:val="14FCE74E"/>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66">
    <w:nsid w:val="6A3DD3E8"/>
    <w:multiLevelType w:val="hybridMultilevel"/>
    <w:lvl w:ilvl="0">
      <w:lvlJc w:val="left"/>
      <w:lvlText w:val="(%1)"/>
      <w:numFmt w:val="lowerLetter"/>
      <w:start w:val="5"/>
    </w:lvl>
  </w:abstractNum>
  <w:abstractNum w:abstractNumId="67">
    <w:nsid w:val="71C91298"/>
    <w:multiLevelType w:val="hybridMultilevel"/>
    <w:lvl w:ilvl="0">
      <w:lvlJc w:val="left"/>
      <w:lvlText w:val="(%1)"/>
      <w:numFmt w:val="lowerLetter"/>
      <w:start w:val="1"/>
    </w:lvl>
  </w:abstractNum>
  <w:abstractNum w:abstractNumId="68">
    <w:nsid w:val="9DAF632"/>
    <w:multiLevelType w:val="hybridMultilevel"/>
    <w:lvl w:ilvl="0">
      <w:lvlJc w:val="left"/>
      <w:lvlText w:val="(%1)"/>
      <w:numFmt w:val="lowerLetter"/>
      <w:start w:val="2"/>
    </w:lvl>
    <w:lvl w:ilvl="1">
      <w:lvlJc w:val="left"/>
      <w:lvlText w:val="(%2)"/>
      <w:numFmt w:val="lowerRoman"/>
      <w:start w:val="1"/>
    </w:lvl>
  </w:abstractNum>
  <w:abstractNum w:abstractNumId="69">
    <w:nsid w:val="53299938"/>
    <w:multiLevelType w:val="hybridMultilevel"/>
    <w:lvl w:ilvl="0">
      <w:lvlJc w:val="left"/>
      <w:lvlText w:val="(%1)"/>
      <w:numFmt w:val="lowerLetter"/>
      <w:start w:val="1"/>
    </w:lvl>
    <w:lvl w:ilvl="1">
      <w:lvlJc w:val="left"/>
      <w:lvlText w:val="(%2)"/>
      <w:numFmt w:val="lowerRoman"/>
      <w:start w:val="1"/>
    </w:lvl>
  </w:abstractNum>
  <w:abstractNum w:abstractNumId="70">
    <w:nsid w:val="1FBFE8E0"/>
    <w:multiLevelType w:val="hybridMultilevel"/>
    <w:lvl w:ilvl="0">
      <w:lvlJc w:val="left"/>
      <w:lvlText w:val="%1"/>
      <w:numFmt w:val="lowerLetter"/>
      <w:start w:val="1"/>
    </w:lvl>
    <w:lvl w:ilvl="1">
      <w:lvlJc w:val="left"/>
      <w:lvlText w:val="(%2)"/>
      <w:numFmt w:val="lowerRoman"/>
      <w:start w:val="2"/>
    </w:lvl>
  </w:abstractNum>
  <w:abstractNum w:abstractNumId="71">
    <w:nsid w:val="5092CA79"/>
    <w:multiLevelType w:val="hybridMultilevel"/>
    <w:lvl w:ilvl="0">
      <w:lvlJc w:val="left"/>
      <w:lvlText w:val="(%1)"/>
      <w:numFmt w:val="lowerLetter"/>
      <w:start w:val="8"/>
    </w:lvl>
    <w:lvl w:ilvl="1">
      <w:lvlJc w:val="left"/>
      <w:lvlText w:val="%2"/>
      <w:numFmt w:val="lowerRoman"/>
      <w:start w:val="1"/>
    </w:lvl>
  </w:abstractNum>
  <w:abstractNum w:abstractNumId="72">
    <w:nsid w:val="1D545C4D"/>
    <w:multiLevelType w:val="hybridMultilevel"/>
    <w:lvl w:ilvl="0">
      <w:lvlJc w:val="left"/>
      <w:lvlText w:val="(%1)"/>
      <w:numFmt w:val="lowerLetter"/>
      <w:start w:val="1"/>
    </w:lvl>
  </w:abstractNum>
  <w:abstractNum w:abstractNumId="73">
    <w:nsid w:val="59ADEA3D"/>
    <w:multiLevelType w:val="hybridMultilevel"/>
    <w:lvl w:ilvl="0">
      <w:lvlJc w:val="left"/>
      <w:lvlText w:val="(%1)"/>
      <w:numFmt w:val="lowerLetter"/>
      <w:start w:val="1"/>
    </w:lvl>
  </w:abstractNum>
  <w:abstractNum w:abstractNumId="74">
    <w:nsid w:val="288F1A34"/>
    <w:multiLevelType w:val="hybridMultilevel"/>
    <w:lvl w:ilvl="0">
      <w:lvlJc w:val="left"/>
      <w:lvlText w:val="(%1)"/>
      <w:numFmt w:val="lowerLetter"/>
      <w:start w:val="2"/>
    </w:lvl>
  </w:abstractNum>
  <w:abstractNum w:abstractNumId="75">
    <w:nsid w:val="2A155DBC"/>
    <w:multiLevelType w:val="hybridMultilevel"/>
    <w:lvl w:ilvl="0">
      <w:lvlJc w:val="left"/>
      <w:lvlText w:val="(%1)"/>
      <w:numFmt w:val="lowerLetter"/>
      <w:start w:val="7"/>
    </w:lvl>
  </w:abstractNum>
  <w:abstractNum w:abstractNumId="76">
    <w:nsid w:val="1D9F6E5F"/>
    <w:multiLevelType w:val="hybridMultilevel"/>
    <w:lvl w:ilvl="0">
      <w:lvlJc w:val="left"/>
      <w:lvlText w:val="(%1)"/>
      <w:numFmt w:val="lowerLetter"/>
      <w:start w:val="13"/>
    </w:lvl>
  </w:abstractNum>
  <w:abstractNum w:abstractNumId="77">
    <w:nsid w:val="97E1B4E"/>
    <w:multiLevelType w:val="hybridMultilevel"/>
    <w:lvl w:ilvl="0">
      <w:lvlJc w:val="left"/>
      <w:lvlText w:val="(%1)"/>
      <w:numFmt w:val="lowerLetter"/>
      <w:start w:val="1"/>
    </w:lvl>
  </w:abstractNum>
  <w:abstractNum w:abstractNumId="78">
    <w:nsid w:val="51088277"/>
    <w:multiLevelType w:val="hybridMultilevel"/>
    <w:lvl w:ilvl="0">
      <w:lvlJc w:val="left"/>
      <w:lvlText w:val="(%1)"/>
      <w:numFmt w:val="lowerLetter"/>
      <w:start w:val="5"/>
    </w:lvl>
    <w:lvl w:ilvl="1">
      <w:lvlJc w:val="left"/>
      <w:lvlText w:val="(%2)"/>
      <w:numFmt w:val="lowerRoman"/>
      <w:start w:val="1"/>
    </w:lvl>
  </w:abstractNum>
  <w:abstractNum w:abstractNumId="79">
    <w:nsid w:val="1CA0C5FA"/>
    <w:multiLevelType w:val="hybridMultilevel"/>
    <w:lvl w:ilvl="0">
      <w:lvlJc w:val="left"/>
      <w:lvlText w:val="(%1)"/>
      <w:numFmt w:val="lowerRoman"/>
      <w:start w:val="4"/>
    </w:lvl>
  </w:abstractNum>
  <w:abstractNum w:abstractNumId="80">
    <w:nsid w:val="53584BCB"/>
    <w:multiLevelType w:val="hybridMultilevel"/>
    <w:lvl w:ilvl="0">
      <w:lvlJc w:val="left"/>
      <w:lvlText w:val="(%1)"/>
      <w:numFmt w:val="upperLetter"/>
      <w:start w:val="1"/>
    </w:lvl>
    <w:lvl w:ilvl="1">
      <w:lvlJc w:val="left"/>
      <w:lvlText w:val="(%2)"/>
      <w:numFmt w:val="lowerLetter"/>
      <w:start w:val="9"/>
    </w:lvl>
  </w:abstractNum>
  <w:abstractNum w:abstractNumId="81">
    <w:nsid w:val="415E286C"/>
    <w:multiLevelType w:val="hybridMultilevel"/>
    <w:lvl w:ilvl="0">
      <w:lvlJc w:val="left"/>
      <w:lvlText w:val="(%1)"/>
      <w:numFmt w:val="lowerLetter"/>
      <w:start w:val="11"/>
    </w:lvl>
  </w:abstractNum>
  <w:abstractNum w:abstractNumId="82">
    <w:nsid w:val="7C58FD05"/>
    <w:multiLevelType w:val="hybridMultilevel"/>
    <w:lvl w:ilvl="0">
      <w:lvlJc w:val="left"/>
      <w:lvlText w:val="(%1)"/>
      <w:numFmt w:val="lowerLetter"/>
      <w:start w:val="1"/>
    </w:lvl>
    <w:lvl w:ilvl="1">
      <w:lvlJc w:val="left"/>
      <w:lvlText w:val="(%2)"/>
      <w:numFmt w:val="lowerRoman"/>
      <w:start w:val="1"/>
    </w:lvl>
  </w:abstractNum>
  <w:abstractNum w:abstractNumId="83">
    <w:nsid w:val="23D86AAC"/>
    <w:multiLevelType w:val="hybridMultilevel"/>
    <w:lvl w:ilvl="0">
      <w:lvlJc w:val="left"/>
      <w:lvlText w:val="%1"/>
      <w:numFmt w:val="lowerLetter"/>
      <w:start w:val="1"/>
    </w:lvl>
    <w:lvl w:ilvl="1">
      <w:lvlJc w:val="left"/>
      <w:lvlText w:val="(%2)"/>
      <w:numFmt w:val="lowerRoman"/>
      <w:start w:val="6"/>
    </w:lvl>
  </w:abstractNum>
  <w:abstractNum w:abstractNumId="84">
    <w:nsid w:val="45E6D486"/>
    <w:multiLevelType w:val="hybridMultilevel"/>
    <w:lvl w:ilvl="0">
      <w:lvlJc w:val="left"/>
      <w:lvlText w:val="(%1)"/>
      <w:numFmt w:val="lowerLetter"/>
      <w:start w:val="2"/>
    </w:lvl>
    <w:lvl w:ilvl="1">
      <w:lvlJc w:val="left"/>
      <w:lvlText w:val="%2"/>
      <w:numFmt w:val="lowerRoman"/>
      <w:start w:val="1"/>
    </w:lvl>
  </w:abstractNum>
  <w:abstractNum w:abstractNumId="85">
    <w:nsid w:val="5C10FE21"/>
    <w:multiLevelType w:val="hybridMultilevel"/>
    <w:lvl w:ilvl="0">
      <w:lvlJc w:val="left"/>
      <w:lvlText w:val="(%1)"/>
      <w:numFmt w:val="lowerLetter"/>
      <w:start w:val="4"/>
    </w:lvl>
  </w:abstractNum>
  <w:abstractNum w:abstractNumId="86">
    <w:nsid w:val="E7FFA2B"/>
    <w:multiLevelType w:val="hybridMultilevel"/>
    <w:lvl w:ilvl="0">
      <w:lvlJc w:val="left"/>
      <w:lvlText w:val="(%1)"/>
      <w:numFmt w:val="lowerLetter"/>
      <w:start w:val="1"/>
    </w:lvl>
  </w:abstractNum>
  <w:abstractNum w:abstractNumId="87">
    <w:nsid w:val="3C5991AA"/>
    <w:multiLevelType w:val="hybridMultilevel"/>
    <w:lvl w:ilvl="0">
      <w:lvlJc w:val="left"/>
      <w:lvlText w:val="(%1)"/>
      <w:numFmt w:val="lowerLetter"/>
      <w:start w:val="5"/>
    </w:lvl>
  </w:abstractNum>
  <w:abstractNum w:abstractNumId="88">
    <w:nsid w:val="4BD8591A"/>
    <w:multiLevelType w:val="hybridMultilevel"/>
    <w:lvl w:ilvl="0">
      <w:lvlJc w:val="left"/>
      <w:lvlText w:val="(%1)"/>
      <w:numFmt w:val="lowerLetter"/>
      <w:start w:val="2"/>
    </w:lvl>
  </w:abstractNum>
  <w:abstractNum w:abstractNumId="89">
    <w:nsid w:val="78DF6A55"/>
    <w:multiLevelType w:val="hybridMultilevel"/>
    <w:lvl w:ilvl="0">
      <w:lvlJc w:val="left"/>
      <w:lvlText w:val="(%1)"/>
      <w:numFmt w:val="lowerLetter"/>
      <w:start w:val="2"/>
    </w:lvl>
  </w:abstractNum>
  <w:abstractNum w:abstractNumId="90">
    <w:nsid w:val="39B7AAA2"/>
    <w:multiLevelType w:val="hybridMultilevel"/>
    <w:lvl w:ilvl="0">
      <w:lvlJc w:val="left"/>
      <w:lvlText w:val="(%1)"/>
      <w:numFmt w:val="lowerRoman"/>
      <w:start w:val="2"/>
    </w:lvl>
  </w:abstractNum>
  <w:abstractNum w:abstractNumId="91">
    <w:nsid w:val="2B0D8DBE"/>
    <w:multiLevelType w:val="hybridMultilevel"/>
    <w:lvl w:ilvl="0">
      <w:lvlJc w:val="left"/>
      <w:lvlText w:val="%1"/>
      <w:numFmt w:val="lowerLetter"/>
      <w:start w:val="1"/>
    </w:lvl>
    <w:lvl w:ilvl="1">
      <w:lvlJc w:val="left"/>
      <w:lvlText w:val="(%2)"/>
      <w:numFmt w:val="lowerLetter"/>
      <w:start w:val="1"/>
    </w:lvl>
  </w:abstractNum>
  <w:abstractNum w:abstractNumId="92">
    <w:nsid w:val="6C80EC70"/>
    <w:multiLevelType w:val="hybridMultilevel"/>
    <w:lvl w:ilvl="0">
      <w:lvlJc w:val="left"/>
      <w:lvlText w:val="(%1)"/>
      <w:numFmt w:val="lowerLetter"/>
      <w:start w:val="3"/>
    </w:lvl>
    <w:lvl w:ilvl="1">
      <w:lvlJc w:val="left"/>
      <w:lvlText w:val="(%2)"/>
      <w:numFmt w:val="lowerLetter"/>
      <w:start w:val="2"/>
    </w:lvl>
  </w:abstractNum>
  <w:abstractNum w:abstractNumId="93">
    <w:nsid w:val="379E21B5"/>
    <w:multiLevelType w:val="hybridMultilevel"/>
    <w:lvl w:ilvl="0">
      <w:lvlJc w:val="left"/>
      <w:lvlText w:val="(%1)"/>
      <w:numFmt w:val="lowerLetter"/>
      <w:start w:val="3"/>
    </w:lvl>
  </w:abstractNum>
  <w:abstractNum w:abstractNumId="94">
    <w:nsid w:val="69E373"/>
    <w:multiLevelType w:val="hybridMultilevel"/>
    <w:lvl w:ilvl="0">
      <w:lvlJc w:val="left"/>
      <w:lvlText w:val="(%1)"/>
      <w:numFmt w:val="lowerLetter"/>
      <w:start w:val="1"/>
    </w:lvl>
  </w:abstractNum>
  <w:abstractNum w:abstractNumId="95">
    <w:nsid w:val="2C27173B"/>
    <w:multiLevelType w:val="hybridMultilevel"/>
    <w:lvl w:ilvl="0">
      <w:lvlJc w:val="left"/>
      <w:lvlText w:val="(%1)"/>
      <w:numFmt w:val="lowerLetter"/>
      <w:start w:val="3"/>
    </w:lvl>
  </w:abstractNum>
  <w:abstractNum w:abstractNumId="96">
    <w:nsid w:val="4C9B0904"/>
    <w:multiLevelType w:val="hybridMultilevel"/>
    <w:lvl w:ilvl="0">
      <w:lvlJc w:val="left"/>
      <w:lvlText w:val="(%1)"/>
      <w:numFmt w:val="lowerLetter"/>
      <w:start w:val="1"/>
    </w:lvl>
  </w:abstractNum>
  <w:abstractNum w:abstractNumId="97">
    <w:nsid w:val="6AA7B75C"/>
    <w:multiLevelType w:val="hybridMultilevel"/>
    <w:lvl w:ilvl="0">
      <w:lvlJc w:val="left"/>
      <w:lvlText w:val="(%1)"/>
      <w:numFmt w:val="lowerLetter"/>
      <w:start w:val="2"/>
    </w:lvl>
  </w:abstractNum>
  <w:abstractNum w:abstractNumId="98">
    <w:nsid w:val="1DF029D3"/>
    <w:multiLevelType w:val="hybridMultilevel"/>
    <w:lvl w:ilvl="0">
      <w:lvlJc w:val="left"/>
      <w:lvlText w:val="(%1)"/>
      <w:numFmt w:val="lowerLetter"/>
      <w:start w:val="5"/>
    </w:lvl>
  </w:abstractNum>
  <w:abstractNum w:abstractNumId="99">
    <w:nsid w:val="5675FF36"/>
    <w:multiLevelType w:val="hybridMultilevel"/>
    <w:lvl w:ilvl="0">
      <w:lvlJc w:val="left"/>
      <w:lvlText w:val="(%1)"/>
      <w:numFmt w:val="lowerRoman"/>
      <w:start w:val="4"/>
    </w:lvl>
  </w:abstractNum>
  <w:abstractNum w:abstractNumId="100">
    <w:nsid w:val="3DD15094"/>
    <w:multiLevelType w:val="hybridMultilevel"/>
    <w:lvl w:ilvl="0">
      <w:lvlJc w:val="left"/>
      <w:lvlText w:val="(%1)"/>
      <w:numFmt w:val="upperLetter"/>
      <w:start w:val="1"/>
    </w:lvl>
  </w:abstractNum>
  <w:abstractNum w:abstractNumId="101">
    <w:nsid w:val="3DB012B3"/>
    <w:multiLevelType w:val="hybridMultilevel"/>
    <w:lvl w:ilvl="0">
      <w:lvlJc w:val="left"/>
      <w:lvlText w:val="(%1)"/>
      <w:numFmt w:val="lowerLetter"/>
      <w:start w:val="1"/>
    </w:lvl>
  </w:abstractNum>
  <w:abstractNum w:abstractNumId="102">
    <w:nsid w:val="2708C9AF"/>
    <w:multiLevelType w:val="hybridMultilevel"/>
    <w:lvl w:ilvl="0">
      <w:lvlJc w:val="left"/>
      <w:lvlText w:val="(%1)"/>
      <w:numFmt w:val="lowerLetter"/>
      <w:start w:val="1"/>
    </w:lvl>
    <w:lvl w:ilvl="1">
      <w:lvlJc w:val="left"/>
      <w:lvlText w:val="(%2)"/>
      <w:numFmt w:val="lowerRoman"/>
      <w:start w:val="1"/>
    </w:lvl>
  </w:abstractNum>
  <w:abstractNum w:abstractNumId="103">
    <w:nsid w:val="5B25ACE2"/>
    <w:multiLevelType w:val="hybridMultilevel"/>
    <w:lvl w:ilvl="0">
      <w:lvlJc w:val="left"/>
      <w:lvlText w:val="(%1)"/>
      <w:numFmt w:val="lowerRoman"/>
      <w:start w:val="3"/>
    </w:lvl>
  </w:abstractNum>
  <w:abstractNum w:abstractNumId="104">
    <w:nsid w:val="175DFCF0"/>
    <w:multiLevelType w:val="hybridMultilevel"/>
    <w:lvl w:ilvl="0">
      <w:lvlJc w:val="left"/>
      <w:lvlText w:val="(%1)"/>
      <w:numFmt w:val="lowerLetter"/>
      <w:start w:val="1"/>
    </w:lvl>
  </w:abstractNum>
  <w:abstractNum w:abstractNumId="105">
    <w:nsid w:val="4F97E3E4"/>
    <w:multiLevelType w:val="hybridMultilevel"/>
    <w:lvl w:ilvl="0">
      <w:lvlJc w:val="left"/>
      <w:lvlText w:val="(%1)"/>
      <w:numFmt w:val="lowerRoman"/>
      <w:start w:val="1"/>
    </w:lvl>
  </w:abstractNum>
  <w:abstractNum w:abstractNumId="106">
    <w:nsid w:val="53B0A9E"/>
    <w:multiLevelType w:val="hybridMultilevel"/>
    <w:lvl w:ilvl="0">
      <w:lvlJc w:val="left"/>
      <w:lvlText w:val="(%1)"/>
      <w:numFmt w:val="lowerRoman"/>
      <w:start w:val="2"/>
    </w:lvl>
  </w:abstractNum>
  <w:abstractNum w:abstractNumId="107">
    <w:nsid w:val="34FD6B4F"/>
    <w:multiLevelType w:val="hybridMultilevel"/>
    <w:lvl w:ilvl="0">
      <w:lvlJc w:val="left"/>
      <w:lvlText w:val="1"/>
      <w:numFmt w:val="bullet"/>
      <w:start w:val="1"/>
    </w:lvl>
  </w:abstractNum>
  <w:abstractNum w:abstractNumId="108">
    <w:nsid w:val="5915FF32"/>
    <w:multiLevelType w:val="hybridMultilevel"/>
    <w:lvl w:ilvl="0">
      <w:lvlJc w:val="left"/>
      <w:lvlText w:val="%1."/>
      <w:numFmt w:val="lowerLetter"/>
      <w:start w:val="1"/>
    </w:lvl>
  </w:abstractNum>
  <w:abstractNum w:abstractNumId="109">
    <w:nsid w:val="56438D15"/>
    <w:multiLevelType w:val="hybridMultilevel"/>
    <w:lvl w:ilvl="0">
      <w:lvlJc w:val="left"/>
      <w:lvlText w:val="%1."/>
      <w:numFmt w:val="lowerLetter"/>
      <w:start w:val="2"/>
    </w:lvl>
  </w:abstractNum>
  <w:abstractNum w:abstractNumId="110">
    <w:nsid w:val="519E3149"/>
    <w:multiLevelType w:val="hybridMultilevel"/>
    <w:lvl w:ilvl="0">
      <w:lvlJc w:val="left"/>
      <w:lvlText w:val="%1."/>
      <w:numFmt w:val="lowerLetter"/>
      <w:start w:val="3"/>
    </w:lvl>
  </w:abstractNum>
  <w:abstractNum w:abstractNumId="111">
    <w:nsid w:val="2C6E4AFD"/>
    <w:multiLevelType w:val="hybridMultilevel"/>
    <w:lvl w:ilvl="0">
      <w:lvlJc w:val="left"/>
      <w:lvlText w:val="(%1)"/>
      <w:numFmt w:val="upperLetter"/>
      <w:start w:val="1"/>
    </w:lvl>
  </w:abstractNum>
  <w:abstractNum w:abstractNumId="112">
    <w:nsid w:val="17A1B582"/>
    <w:multiLevelType w:val="hybridMultilevel"/>
    <w:lvl w:ilvl="0">
      <w:lvlJc w:val="left"/>
      <w:lvlText w:val="%1."/>
      <w:numFmt w:val="lowerLetter"/>
      <w:start w:val="1"/>
    </w:lvl>
  </w:abstractNum>
  <w:abstractNum w:abstractNumId="113">
    <w:nsid w:val="4DF72E4E"/>
    <w:multiLevelType w:val="hybridMultilevel"/>
    <w:lvl w:ilvl="0">
      <w:lvlJc w:val="left"/>
      <w:lvlText w:val="%1."/>
      <w:numFmt w:val="lowerLetter"/>
      <w:start w:val="2"/>
    </w:lvl>
  </w:abstractNum>
  <w:abstractNum w:abstractNumId="114">
    <w:nsid w:val="5046B5A9"/>
    <w:multiLevelType w:val="hybridMultilevel"/>
    <w:lvl w:ilvl="0">
      <w:lvlJc w:val="left"/>
      <w:lvlText w:val="%1"/>
      <w:numFmt w:val="decimal"/>
      <w:start w:val="1"/>
    </w:lvl>
    <w:lvl w:ilvl="1">
      <w:lvlJc w:val="left"/>
      <w:lvlText w:val="$"/>
      <w:numFmt w:val="bullet"/>
      <w:start w:val="1"/>
    </w:lvl>
  </w:abstractNum>
  <w:abstractNum w:abstractNumId="115">
    <w:nsid w:val="5D888A08"/>
    <w:multiLevelType w:val="hybridMultilevel"/>
    <w:lvl w:ilvl="0">
      <w:lvlJc w:val="left"/>
      <w:lvlText w:val="(%1)"/>
      <w:numFmt w:val="upperLetter"/>
      <w:start w:val="1"/>
    </w:lvl>
  </w:abstractNum>
  <w:abstractNum w:abstractNumId="116">
    <w:nsid w:val="2A082C70"/>
    <w:multiLevelType w:val="hybridMultilevel"/>
    <w:lvl w:ilvl="0">
      <w:lvlJc w:val="left"/>
      <w:lvlText w:val="(%1)"/>
      <w:numFmt w:val="upperLetter"/>
      <w:start w:val="2"/>
    </w:lvl>
  </w:abstractNum>
  <w:abstractNum w:abstractNumId="117">
    <w:nsid w:val="5EC6AFD4"/>
    <w:multiLevelType w:val="hybridMultilevel"/>
    <w:lvl w:ilvl="0">
      <w:lvlJc w:val="left"/>
      <w:lvlText w:val="%1."/>
      <w:numFmt w:val="decimal"/>
      <w:start w:val="6"/>
    </w:lvl>
  </w:abstractNum>
  <w:abstractNum w:abstractNumId="118">
    <w:nsid w:val="19E21BB2"/>
    <w:multiLevelType w:val="hybridMultilevel"/>
    <w:lvl w:ilvl="0">
      <w:lvlJc w:val="left"/>
      <w:lvlText w:val="1"/>
      <w:numFmt w:val="bullet"/>
      <w:start w:val="1"/>
    </w:lvl>
  </w:abstractNum>
  <w:abstractNum w:abstractNumId="119">
    <w:nsid w:val="75E0858A"/>
    <w:multiLevelType w:val="hybridMultilevel"/>
    <w:lvl w:ilvl="0">
      <w:lvlJc w:val="left"/>
      <w:lvlText w:val="*"/>
      <w:numFmt w:val="bullet"/>
      <w:start w:val="1"/>
    </w:lvl>
  </w:abstractNum>
  <w:abstractNum w:abstractNumId="120">
    <w:nsid w:val="57A61A29"/>
    <w:multiLevelType w:val="hybridMultilevel"/>
    <w:lvl w:ilvl="0">
      <w:lvlJc w:val="left"/>
      <w:lvlText w:val="2"/>
      <w:numFmt w:val="bullet"/>
      <w:start w:val="1"/>
    </w:lvl>
  </w:abstractNum>
  <w:abstractNum w:abstractNumId="121">
    <w:nsid w:val="5399C654"/>
    <w:multiLevelType w:val="hybridMultilevel"/>
    <w:lvl w:ilvl="0">
      <w:lvlJc w:val="left"/>
      <w:lvlText w:val="3"/>
      <w:numFmt w:val="bullet"/>
      <w:start w:val="1"/>
    </w:lvl>
  </w:abstractNum>
  <w:abstractNum w:abstractNumId="122">
    <w:nsid w:val="20EE1348"/>
    <w:multiLevelType w:val="hybridMultilevel"/>
    <w:lvl w:ilvl="0">
      <w:lvlJc w:val="left"/>
      <w:lvlText w:val="4"/>
      <w:numFmt w:val="bullet"/>
      <w:start w:val="1"/>
    </w:lvl>
  </w:abstractNum>
  <w:abstractNum w:abstractNumId="123">
    <w:nsid w:val="4427069A"/>
    <w:multiLevelType w:val="hybridMultilevel"/>
    <w:lvl w:ilvl="0">
      <w:lvlJc w:val="left"/>
      <w:lvlText w:val="5"/>
      <w:numFmt w:val="bullet"/>
      <w:start w:val="1"/>
    </w:lvl>
  </w:abstractNum>
  <w:abstractNum w:abstractNumId="124">
    <w:nsid w:val="B37E80A"/>
    <w:multiLevelType w:val="hybridMultilevel"/>
    <w:lvl w:ilvl="0">
      <w:lvlJc w:val="left"/>
      <w:lvlText w:val="%1."/>
      <w:numFmt w:val="decimal"/>
      <w:start w:val="1"/>
    </w:lvl>
  </w:abstractNum>
  <w:abstractNum w:abstractNumId="125">
    <w:nsid w:val="2157F6BC"/>
    <w:multiLevelType w:val="hybridMultilevel"/>
    <w:lvl w:ilvl="0">
      <w:lvlJc w:val="left"/>
      <w:lvlText w:val="(%1)"/>
      <w:numFmt w:val="lowerRoman"/>
      <w:start w:val="5"/>
    </w:lvl>
    <w:lvl w:ilvl="1">
      <w:lvlJc w:val="left"/>
      <w:lvlText w:val="%2."/>
      <w:numFmt w:val="decimal"/>
      <w:start w:val="2"/>
    </w:lvl>
  </w:abstractNum>
  <w:abstractNum w:abstractNumId="126">
    <w:nsid w:val="704E1DD5"/>
    <w:multiLevelType w:val="hybridMultilevel"/>
    <w:lvl w:ilvl="0">
      <w:lvlJc w:val="left"/>
      <w:lvlText w:val="%1."/>
      <w:numFmt w:val="decimal"/>
      <w:start w:val="3"/>
    </w:lvl>
  </w:abstractNum>
  <w:abstractNum w:abstractNumId="127">
    <w:nsid w:val="57D2F10E"/>
    <w:multiLevelType w:val="hybridMultilevel"/>
    <w:lvl w:ilvl="0">
      <w:lvlJc w:val="left"/>
      <w:lvlText w:val="(%1)"/>
      <w:numFmt w:val="lowerLetter"/>
      <w:start w:val="1"/>
    </w:lvl>
  </w:abstractNum>
  <w:abstractNum w:abstractNumId="128">
    <w:nsid w:val="BFFAE18"/>
    <w:multiLevelType w:val="hybridMultilevel"/>
    <w:lvl w:ilvl="0">
      <w:lvlJc w:val="left"/>
      <w:lvlText w:val="%1."/>
      <w:numFmt w:val="decimal"/>
      <w:start w:val="1"/>
    </w:lvl>
    <w:lvl w:ilvl="1">
      <w:lvlJc w:val="left"/>
      <w:lvlText w:val="(%2)"/>
      <w:numFmt w:val="lowerRoman"/>
      <w:start w:val="1"/>
    </w:lvl>
  </w:abstractNum>
  <w:abstractNum w:abstractNumId="129">
    <w:nsid w:val="E3E47A8"/>
    <w:multiLevelType w:val="hybridMultilevel"/>
    <w:lvl w:ilvl="0">
      <w:lvlJc w:val="left"/>
      <w:lvlText w:val="(%1)"/>
      <w:numFmt w:val="lowerLetter"/>
      <w:start w:val="1"/>
    </w:lvl>
  </w:abstractNum>
  <w:abstractNum w:abstractNumId="130">
    <w:nsid w:val="2E48F044"/>
    <w:multiLevelType w:val="hybridMultilevel"/>
    <w:lvl w:ilvl="0">
      <w:lvlJc w:val="left"/>
      <w:lvlText w:val="•"/>
      <w:numFmt w:val="bullet"/>
      <w:start w:val="1"/>
    </w:lvl>
  </w:abstractNum>
  <w:abstractNum w:abstractNumId="131">
    <w:nsid w:val="49D0FEAC"/>
    <w:multiLevelType w:val="hybridMultilevel"/>
    <w:lvl w:ilvl="0">
      <w:lvlJc w:val="left"/>
      <w:lvlText w:val="•"/>
      <w:numFmt w:val="bullet"/>
      <w:start w:val="1"/>
    </w:lvl>
  </w:abstractNum>
  <w:abstractNum w:abstractNumId="132">
    <w:nsid w:val="4BEE5A5B"/>
    <w:multiLevelType w:val="hybridMultilevel"/>
    <w:lvl w:ilvl="0">
      <w:lvlJc w:val="left"/>
      <w:lvlText w:val="(%1)"/>
      <w:numFmt w:val="lowerLetter"/>
      <w:start w:val="1"/>
    </w:lvl>
  </w:abstractNum>
  <w:abstractNum w:abstractNumId="133">
    <w:nsid w:val="5551B9F3"/>
    <w:multiLevelType w:val="hybridMultilevel"/>
    <w:lvl w:ilvl="0">
      <w:lvlJc w:val="left"/>
      <w:lvlText w:val="%1."/>
      <w:numFmt w:val="decimal"/>
      <w:start w:val="1"/>
    </w:lvl>
    <w:lvl w:ilvl="1">
      <w:lvlJc w:val="left"/>
      <w:lvlText w:val="(%2)"/>
      <w:numFmt w:val="lowerRoman"/>
      <w:start w:val="1"/>
    </w:lvl>
  </w:abstractNum>
  <w:abstractNum w:abstractNumId="134">
    <w:nsid w:val="24F6AB8E"/>
    <w:multiLevelType w:val="hybridMultilevel"/>
    <w:lvl w:ilvl="0">
      <w:lvlJc w:val="left"/>
      <w:lvlText w:val="(%1)"/>
      <w:numFmt w:val="lowerRoman"/>
      <w:start w:val="3"/>
    </w:lvl>
  </w:abstractNum>
  <w:abstractNum w:abstractNumId="135">
    <w:nsid w:val="634C574C"/>
    <w:multiLevelType w:val="hybridMultilevel"/>
    <w:lvl w:ilvl="0">
      <w:lvlJc w:val="left"/>
      <w:lvlText w:val="(%1)"/>
      <w:numFmt w:val="lowerLetter"/>
      <w:start w:val="1"/>
    </w:lvl>
  </w:abstractNum>
  <w:abstractNum w:abstractNumId="136">
    <w:nsid w:val="24E99DD7"/>
    <w:multiLevelType w:val="hybridMultilevel"/>
    <w:lvl w:ilvl="0">
      <w:lvlJc w:val="left"/>
      <w:lvlText w:val="(%1)"/>
      <w:numFmt w:val="lowerRoman"/>
      <w:start w:val="2"/>
    </w:lvl>
  </w:abstractNum>
  <w:abstractNum w:abstractNumId="137">
    <w:nsid w:val="2A31B62D"/>
    <w:multiLevelType w:val="hybridMultilevel"/>
    <w:lvl w:ilvl="0">
      <w:lvlJc w:val="left"/>
      <w:lvlText w:val="•"/>
      <w:numFmt w:val="bullet"/>
      <w:start w:val="1"/>
    </w:lvl>
  </w:abstractNum>
  <w:abstractNum w:abstractNumId="138">
    <w:nsid w:val="1849C29B"/>
    <w:multiLevelType w:val="hybridMultilevel"/>
    <w:lvl w:ilvl="0">
      <w:lvlJc w:val="left"/>
      <w:lvlText w:val="•"/>
      <w:numFmt w:val="bullet"/>
      <w:start w:val="1"/>
    </w:lvl>
  </w:abstractNum>
  <w:abstractNum w:abstractNumId="139">
    <w:nsid w:val="7DFF9D09"/>
    <w:multiLevelType w:val="hybridMultilevel"/>
    <w:lvl w:ilvl="0">
      <w:lvlJc w:val="left"/>
      <w:lvlText w:val="•"/>
      <w:numFmt w:val="bullet"/>
      <w:start w:val="1"/>
    </w:lvl>
  </w:abstractNum>
  <w:abstractNum w:abstractNumId="140">
    <w:nsid w:val="754342"/>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2019-12-01T04:29:37Z</dcterms:created>
  <dcterms:modified xsi:type="dcterms:W3CDTF">2019-12-01T04:29:37Z</dcterms:modified>
</cp:coreProperties>
</file>