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21, 2019</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333-212117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333-186316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333-180096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333-178879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333-159076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333-130936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333-110425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333-83942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333-73686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333-45902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 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6"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333-212117</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333-186316</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333-180096</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333-178879</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333-159076</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333-130936</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No. 333-110425</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Registration Statement No. 333-83942</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Registration Statement No. 333-73686</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Registration Statement No. 333-45902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151765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AmeriGas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1820" w:type="dxa"/>
        <w:tblCellMar>
          <w:top w:w="0" w:type="dxa"/>
          <w:left w:w="0" w:type="dxa"/>
          <w:bottom w:w="0" w:type="dxa"/>
          <w:right w:w="0" w:type="dxa"/>
        </w:tblCellMar>
      </w:tblPr>
      <w:tr>
        <w:trPr>
          <w:trHeight w:val="212"/>
        </w:trPr>
        <w:tc>
          <w:tcPr>
            <w:tcW w:w="394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23-2787918</w:t>
            </w:r>
          </w:p>
        </w:tc>
      </w:tr>
      <w:tr>
        <w:trPr>
          <w:trHeight w:val="149"/>
        </w:trPr>
        <w:tc>
          <w:tcPr>
            <w:tcW w:w="39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40" w:type="dxa"/>
            <w:vAlign w:val="bottom"/>
          </w:tcPr>
          <w:p>
            <w:pPr>
              <w:jc w:val="center"/>
              <w:ind w:right="1922"/>
              <w:spacing w:after="0"/>
              <w:rPr>
                <w:sz w:val="20"/>
                <w:szCs w:val="20"/>
                <w:color w:val="auto"/>
              </w:rPr>
            </w:pPr>
            <w:r>
              <w:rPr>
                <w:rFonts w:ascii="Arial" w:cs="Arial" w:eastAsia="Arial" w:hAnsi="Arial"/>
                <w:sz w:val="14"/>
                <w:szCs w:val="14"/>
                <w:b w:val="1"/>
                <w:bCs w:val="1"/>
                <w:color w:val="auto"/>
                <w:w w:val="95"/>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460 North Gulph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 of Prussia, PA 19406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(610) 337-1000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Monica M. Gaudiosi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AmeriGas Propane,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460 North Gulph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 of Prussia, PA 19406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(610) 337-1000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151765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Approximate date of commencement of proposed sale to the public: </w:t>
      </w:r>
      <w:r>
        <w:rPr>
          <w:rFonts w:ascii="Arial" w:cs="Arial" w:eastAsia="Arial" w:hAnsi="Arial"/>
          <w:sz w:val="18"/>
          <w:szCs w:val="18"/>
          <w:b w:val="1"/>
          <w:bCs w:val="1"/>
          <w:color w:val="auto"/>
        </w:rPr>
        <w:t>Not applicable</w:t>
      </w:r>
    </w:p>
    <w:p>
      <w:pPr>
        <w:spacing w:after="0" w:line="121"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0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ectPr>
          <w:pgSz w:w="11900" w:h="16838" w:orient="portrait"/>
          <w:cols w:equalWidth="0" w:num="1">
            <w:col w:w="11020"/>
          </w:cols>
          <w:pgMar w:left="440" w:top="229" w:right="439" w:bottom="0" w:gutter="0" w:footer="0" w:header="0"/>
        </w:sectPr>
      </w:pPr>
    </w:p>
    <w:bookmarkStart w:id="1" w:name="page2"/>
    <w:bookmarkEnd w:id="1"/>
    <w:p>
      <w:pPr>
        <w:ind w:right="12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0"/>
          <w:szCs w:val="20"/>
          <w:color w:val="auto"/>
        </w:rPr>
      </w:pPr>
    </w:p>
    <w:p>
      <w:pPr>
        <w:ind w:right="3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61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61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4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10660" w:type="dxa"/>
            <w:vAlign w:val="bottom"/>
            <w:gridSpan w:val="4"/>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 with any</w:t>
            </w:r>
          </w:p>
        </w:tc>
        <w:tc>
          <w:tcPr>
            <w:tcW w:w="3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7920" w:type="dxa"/>
            <w:vAlign w:val="bottom"/>
            <w:gridSpan w:val="3"/>
          </w:tcPr>
          <w:p>
            <w:pPr>
              <w:spacing w:after="0"/>
              <w:rPr>
                <w:sz w:val="20"/>
                <w:szCs w:val="20"/>
                <w:color w:val="auto"/>
              </w:rPr>
            </w:pPr>
            <w:r>
              <w:rPr>
                <w:rFonts w:ascii="Arial" w:cs="Arial" w:eastAsia="Arial" w:hAnsi="Arial"/>
                <w:sz w:val="18"/>
                <w:szCs w:val="18"/>
                <w:color w:val="auto"/>
                <w:w w:val="96"/>
              </w:rPr>
              <w:t>new or revised financial accounting standards provided pursuant to Section 7(a)(2)(B) of Securities Act</w:t>
            </w:r>
          </w:p>
        </w:tc>
        <w:tc>
          <w:tcPr>
            <w:tcW w:w="274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125"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 DEREGISTRATION OF SECURITIES</w:t>
      </w:r>
    </w:p>
    <w:p>
      <w:pPr>
        <w:spacing w:after="0" w:line="229"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This Post-Effective Amendment relates to the following Registration Statements on Form S-3 (collectively, the “Registration Statements”), originally filed by AmeriGas Partners, L.P., a Delaware limited partnership (“AmeriGas”), with the Securities and Exchange Commission:</w:t>
      </w:r>
    </w:p>
    <w:p>
      <w:pPr>
        <w:spacing w:after="0" w:line="29" w:lineRule="exact"/>
        <w:rPr>
          <w:sz w:val="20"/>
          <w:szCs w:val="20"/>
          <w:color w:val="auto"/>
        </w:rPr>
      </w:pPr>
    </w:p>
    <w:p>
      <w:pPr>
        <w:ind w:left="1420" w:right="360" w:hanging="322"/>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333-212117 on Form S-3, filed on June 20, 2016, registering senior debt securities of AmeriGas and AmeriGas Finance Corp.;</w:t>
      </w:r>
    </w:p>
    <w:p>
      <w:pPr>
        <w:spacing w:after="0" w:line="75" w:lineRule="exact"/>
        <w:rPr>
          <w:rFonts w:ascii="Arial" w:cs="Arial" w:eastAsia="Arial" w:hAnsi="Arial"/>
          <w:sz w:val="18"/>
          <w:szCs w:val="18"/>
          <w:color w:val="auto"/>
        </w:rPr>
      </w:pPr>
    </w:p>
    <w:p>
      <w:pPr>
        <w:ind w:left="1420" w:hanging="322"/>
        <w:spacing w:after="0" w:line="264"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333-186316 on Form S-3, filed on January 30, 2013, as amended by Amendment No. 1 filed on March 5, 2013, as further amended by Amendment No. 2 filed on June 28, 2013, registering 29,567,362 common units representing limited partner interests of AmeriGas (“Common Units”);</w:t>
      </w:r>
    </w:p>
    <w:p>
      <w:pPr>
        <w:spacing w:after="0" w:line="86" w:lineRule="exact"/>
        <w:rPr>
          <w:rFonts w:ascii="Arial" w:cs="Arial" w:eastAsia="Arial" w:hAnsi="Arial"/>
          <w:sz w:val="18"/>
          <w:szCs w:val="18"/>
          <w:color w:val="auto"/>
        </w:rPr>
      </w:pPr>
    </w:p>
    <w:p>
      <w:pPr>
        <w:ind w:left="1420" w:hanging="322"/>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333-180096 on Form S-3, filed on March 14, 2012, registering Common Units;</w:t>
      </w:r>
    </w:p>
    <w:p>
      <w:pPr>
        <w:spacing w:after="0" w:line="130" w:lineRule="exact"/>
        <w:rPr>
          <w:rFonts w:ascii="Arial" w:cs="Arial" w:eastAsia="Arial" w:hAnsi="Arial"/>
          <w:sz w:val="18"/>
          <w:szCs w:val="18"/>
          <w:color w:val="auto"/>
        </w:rPr>
      </w:pPr>
    </w:p>
    <w:p>
      <w:pPr>
        <w:ind w:left="1420" w:right="520" w:hanging="322"/>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333-178879 on Form S-3, filed on January 4, 2012, registering senior debt securities of AmeriGas Finance Corp. and AmeriGas Finance LLC, guaranteed by AmeriGas;</w:t>
      </w:r>
    </w:p>
    <w:p>
      <w:pPr>
        <w:spacing w:after="0" w:line="75" w:lineRule="exact"/>
        <w:rPr>
          <w:rFonts w:ascii="Arial" w:cs="Arial" w:eastAsia="Arial" w:hAnsi="Arial"/>
          <w:sz w:val="18"/>
          <w:szCs w:val="18"/>
          <w:color w:val="auto"/>
        </w:rPr>
      </w:pPr>
    </w:p>
    <w:p>
      <w:pPr>
        <w:ind w:left="1420" w:right="440" w:hanging="322"/>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333-159076 on Form S-3, filed on May 8, 2009, registering senior debt securities of AmeriGas and AmeriGas Finance Corp.;</w:t>
      </w:r>
    </w:p>
    <w:p>
      <w:pPr>
        <w:spacing w:after="0" w:line="75" w:lineRule="exact"/>
        <w:rPr>
          <w:rFonts w:ascii="Arial" w:cs="Arial" w:eastAsia="Arial" w:hAnsi="Arial"/>
          <w:sz w:val="18"/>
          <w:szCs w:val="18"/>
          <w:color w:val="auto"/>
        </w:rPr>
      </w:pPr>
    </w:p>
    <w:p>
      <w:pPr>
        <w:ind w:left="1420" w:right="680" w:hanging="322"/>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333-130936 on Form S-3, filed on January 10, 2006, registering Common Units and senior debt securities of AmeriGas and AP Eagle Finance Corp.;</w:t>
      </w:r>
    </w:p>
    <w:p>
      <w:pPr>
        <w:spacing w:after="0" w:line="75" w:lineRule="exact"/>
        <w:rPr>
          <w:rFonts w:ascii="Arial" w:cs="Arial" w:eastAsia="Arial" w:hAnsi="Arial"/>
          <w:sz w:val="18"/>
          <w:szCs w:val="18"/>
          <w:color w:val="auto"/>
        </w:rPr>
      </w:pPr>
    </w:p>
    <w:p>
      <w:pPr>
        <w:ind w:left="1420" w:right="340" w:hanging="322"/>
        <w:spacing w:after="0" w:line="342" w:lineRule="auto"/>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No. 333-110425 on Form S-3, filed on November 12, 2003, as amended by Amendment No. 1 filed on November 21, 2003, registering $500,000,000 of Common Units and debt securities of AmeriGas and AmeriGas Finance Corp.;</w:t>
      </w:r>
    </w:p>
    <w:p>
      <w:pPr>
        <w:spacing w:after="0" w:line="29" w:lineRule="exact"/>
        <w:rPr>
          <w:rFonts w:ascii="Arial" w:cs="Arial" w:eastAsia="Arial" w:hAnsi="Arial"/>
          <w:sz w:val="16"/>
          <w:szCs w:val="16"/>
          <w:color w:val="auto"/>
        </w:rPr>
      </w:pPr>
    </w:p>
    <w:p>
      <w:pPr>
        <w:ind w:left="1420" w:right="260" w:hanging="322"/>
        <w:spacing w:after="0" w:line="264"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333-83942 on Form S-3, filed on March 7, 2002, as amended by Amendment No. 1 filed on April 16, 2002, as further amended by Amendment No. 2 filed on May 2, 2002, registering $100,000,000 aggregate principal amount of 8 7/8% Series B Senior Notes;</w:t>
      </w:r>
    </w:p>
    <w:p>
      <w:pPr>
        <w:spacing w:after="0" w:line="86" w:lineRule="exact"/>
        <w:rPr>
          <w:rFonts w:ascii="Arial" w:cs="Arial" w:eastAsia="Arial" w:hAnsi="Arial"/>
          <w:sz w:val="18"/>
          <w:szCs w:val="18"/>
          <w:color w:val="auto"/>
        </w:rPr>
      </w:pPr>
    </w:p>
    <w:p>
      <w:pPr>
        <w:ind w:left="1420" w:right="580" w:hanging="322"/>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333-73686 on Form S-3, filed on November 19, 2001, as amended by Amendment No. 1 filed on November 30, 2001, registering 3,800,000 Common Units; and</w:t>
      </w:r>
    </w:p>
    <w:p>
      <w:pPr>
        <w:spacing w:after="0" w:line="75" w:lineRule="exact"/>
        <w:rPr>
          <w:rFonts w:ascii="Arial" w:cs="Arial" w:eastAsia="Arial" w:hAnsi="Arial"/>
          <w:sz w:val="18"/>
          <w:szCs w:val="18"/>
          <w:color w:val="auto"/>
        </w:rPr>
      </w:pPr>
    </w:p>
    <w:p>
      <w:pPr>
        <w:ind w:left="1420" w:hanging="322"/>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333-45902 on Form S-3, filed on September 15, 2000, registering 9,000,000 Common Units.</w:t>
      </w:r>
    </w:p>
    <w:p>
      <w:pPr>
        <w:spacing w:after="0" w:line="22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On August 21, 2019, the common unitholders of AmeriGas approved the Agreement and Plan of Merger, dated as of April 1, 2019 (the “Merger Agreement”), by and among UGI Corporation, a Pennsylvania corporation (“UGI”), AmeriGas Propane Holdings, Inc., a Delaware corporation and indirect, wholly owned subsidiary of UGI, AmeriGas Propane Holdings, LLC, a Delaware limited liability company and indirect, wholly owned subsidiary of UGI (“Merger Sub”), AmeriGas Propane, Inc., a Pennsylvania corporation and the general partner of AmeriGas, and AmeriGas. Pursuant to the terms of the Merger Agreement, Merger Sub merged with and into AmeriGas, with AmeriGas surviving the Merger as an indirect, wholly owned subsidiary of UGI (the “Merger”). At the effective time of the Merger, pursuant to the terms of the Merger Agreement, each outstanding Common Unit, other than those held by UGI or any of its subsidiaries, was converted into the right to receive, at the election of such AmeriGas unitholder, but subject to any applicable withholding tax and proration pursuant to the Merger Agreement, one of the following forms of consideration: (i) 0.6378 shares of UGI common stock (“UGI Shares”); (ii) $7.63 in cash, without interest, and 0.500 UGI Shares; or (iii) $35.325 in cash, without interest. In each case, cash in lieu of any fractional UGI Shares, without interest, will be paid.</w:t>
      </w:r>
    </w:p>
    <w:p>
      <w:pPr>
        <w:spacing w:after="0" w:line="178"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In connection with the completion of the Merger, AmeriGas terminated all offerings of securities pursuant to the Registration Statements. In accordance with undertakings made by AmeriGas in the Registration Statements to remove from registration, by means of a post-effective amendment, any of the securities that had been registered for issuance that remain unsold at the termination of such offering, AmeriGas hereby removes from registration all of such securities of AmeriGas registered but unsold under the Registration Statements.</w:t>
      </w:r>
    </w:p>
    <w:p>
      <w:pPr>
        <w:sectPr>
          <w:pgSz w:w="11900" w:h="16838" w:orient="portrait"/>
          <w:cols w:equalWidth="0" w:num="1">
            <w:col w:w="11000"/>
          </w:cols>
          <w:pgMar w:left="440" w:top="270" w:right="4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Pursuant to the requirements of the Securities Act of 1933, as amended (the “Securities Act”), the registrant certifies that it has reasonable grounds to believe that it meets all of the requirements for filing on Form S-3 and has duly caused this Post-Effective Amendment to the Registration Statements to be signed on its behalf by the undersigned, thereunto duly authorized, in the city of King of Prussia, Pennsylvania, on August 21, 2019.</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AMERIGAS PARTNERS,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AmeriGas Propane, Inc., its general partner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Hugh J. Gallagher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Hugh J. Gallagher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has been signed below by the following persons on behalf of the registrant in their indicated capacities, which are with the AmeriGas Propane, Inc., the general partner of the registrant, on August 21, 2019.</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Hugh J. Gallagher</w:t>
            </w:r>
          </w:p>
        </w:tc>
        <w:tc>
          <w:tcPr>
            <w:tcW w:w="4760" w:type="dxa"/>
            <w:vAlign w:val="bottom"/>
          </w:tcPr>
          <w:p>
            <w:pPr>
              <w:jc w:val="center"/>
              <w:ind w:left="210"/>
              <w:spacing w:after="0"/>
              <w:rPr>
                <w:sz w:val="20"/>
                <w:szCs w:val="20"/>
                <w:color w:val="auto"/>
              </w:rPr>
            </w:pPr>
            <w:r>
              <w:rPr>
                <w:rFonts w:ascii="Arial" w:cs="Arial" w:eastAsia="Arial" w:hAnsi="Arial"/>
                <w:sz w:val="18"/>
                <w:szCs w:val="18"/>
                <w:color w:val="auto"/>
                <w:w w:val="91"/>
              </w:rPr>
              <w:t>President and Chief Executive Officer</w:t>
            </w:r>
          </w:p>
        </w:tc>
        <w:tc>
          <w:tcPr>
            <w:tcW w:w="1780" w:type="dxa"/>
            <w:vAlign w:val="bottom"/>
          </w:tcPr>
          <w:p>
            <w:pPr>
              <w:ind w:left="580"/>
              <w:spacing w:after="0"/>
              <w:rPr>
                <w:sz w:val="20"/>
                <w:szCs w:val="20"/>
                <w:color w:val="auto"/>
              </w:rPr>
            </w:pPr>
            <w:r>
              <w:rPr>
                <w:rFonts w:ascii="Arial" w:cs="Arial" w:eastAsia="Arial" w:hAnsi="Arial"/>
                <w:sz w:val="18"/>
                <w:szCs w:val="18"/>
                <w:color w:val="auto"/>
                <w:w w:val="89"/>
              </w:rPr>
              <w:t>August 21,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Hugh J. Gallagher</w:t>
            </w:r>
          </w:p>
        </w:tc>
        <w:tc>
          <w:tcPr>
            <w:tcW w:w="4760" w:type="dxa"/>
            <w:vAlign w:val="bottom"/>
          </w:tcPr>
          <w:p>
            <w:pPr>
              <w:jc w:val="center"/>
              <w:ind w:left="230"/>
              <w:spacing w:after="0"/>
              <w:rPr>
                <w:sz w:val="20"/>
                <w:szCs w:val="20"/>
                <w:color w:val="auto"/>
              </w:rPr>
            </w:pPr>
            <w:r>
              <w:rPr>
                <w:rFonts w:ascii="Arial" w:cs="Arial" w:eastAsia="Arial" w:hAnsi="Arial"/>
                <w:sz w:val="18"/>
                <w:szCs w:val="18"/>
                <w:color w:val="auto"/>
                <w:w w:val="93"/>
              </w:rPr>
              <w:t>(Principal Executive Officer) and Director</w:t>
            </w:r>
          </w:p>
        </w:tc>
        <w:tc>
          <w:tcPr>
            <w:tcW w:w="17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Ann P. Kelly</w:t>
            </w:r>
          </w:p>
        </w:tc>
        <w:tc>
          <w:tcPr>
            <w:tcW w:w="4760" w:type="dxa"/>
            <w:vAlign w:val="bottom"/>
          </w:tcPr>
          <w:p>
            <w:pPr>
              <w:jc w:val="center"/>
              <w:ind w:left="230"/>
              <w:spacing w:after="0"/>
              <w:rPr>
                <w:sz w:val="20"/>
                <w:szCs w:val="20"/>
                <w:color w:val="auto"/>
              </w:rPr>
            </w:pPr>
            <w:r>
              <w:rPr>
                <w:rFonts w:ascii="Arial" w:cs="Arial" w:eastAsia="Arial" w:hAnsi="Arial"/>
                <w:sz w:val="18"/>
                <w:szCs w:val="18"/>
                <w:color w:val="auto"/>
                <w:w w:val="94"/>
              </w:rPr>
              <w:t>Chief Financial Officer</w:t>
            </w:r>
          </w:p>
        </w:tc>
        <w:tc>
          <w:tcPr>
            <w:tcW w:w="1780" w:type="dxa"/>
            <w:vAlign w:val="bottom"/>
          </w:tcPr>
          <w:p>
            <w:pPr>
              <w:ind w:left="580"/>
              <w:spacing w:after="0"/>
              <w:rPr>
                <w:sz w:val="20"/>
                <w:szCs w:val="20"/>
                <w:color w:val="auto"/>
              </w:rPr>
            </w:pPr>
            <w:r>
              <w:rPr>
                <w:rFonts w:ascii="Arial" w:cs="Arial" w:eastAsia="Arial" w:hAnsi="Arial"/>
                <w:sz w:val="18"/>
                <w:szCs w:val="18"/>
                <w:color w:val="auto"/>
                <w:w w:val="89"/>
              </w:rPr>
              <w:t>August 21,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Ann P. Kelly</w:t>
            </w:r>
          </w:p>
        </w:tc>
        <w:tc>
          <w:tcPr>
            <w:tcW w:w="4760" w:type="dxa"/>
            <w:vAlign w:val="bottom"/>
          </w:tcPr>
          <w:p>
            <w:pPr>
              <w:jc w:val="center"/>
              <w:ind w:left="230"/>
              <w:spacing w:after="0"/>
              <w:rPr>
                <w:sz w:val="20"/>
                <w:szCs w:val="20"/>
                <w:color w:val="auto"/>
              </w:rPr>
            </w:pPr>
            <w:r>
              <w:rPr>
                <w:rFonts w:ascii="Arial" w:cs="Arial" w:eastAsia="Arial" w:hAnsi="Arial"/>
                <w:sz w:val="18"/>
                <w:szCs w:val="18"/>
                <w:color w:val="auto"/>
                <w:w w:val="93"/>
              </w:rPr>
              <w:t>(Principal Financial and Accounting Officer)</w:t>
            </w:r>
          </w:p>
        </w:tc>
        <w:tc>
          <w:tcPr>
            <w:tcW w:w="17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L. Walsh</w:t>
            </w:r>
          </w:p>
        </w:tc>
        <w:tc>
          <w:tcPr>
            <w:tcW w:w="4760" w:type="dxa"/>
            <w:vAlign w:val="bottom"/>
          </w:tcPr>
          <w:p>
            <w:pPr>
              <w:jc w:val="center"/>
              <w:ind w:left="210"/>
              <w:spacing w:after="0"/>
              <w:rPr>
                <w:sz w:val="20"/>
                <w:szCs w:val="20"/>
                <w:color w:val="auto"/>
              </w:rPr>
            </w:pPr>
            <w:r>
              <w:rPr>
                <w:rFonts w:ascii="Arial" w:cs="Arial" w:eastAsia="Arial" w:hAnsi="Arial"/>
                <w:sz w:val="18"/>
                <w:szCs w:val="18"/>
                <w:color w:val="auto"/>
                <w:w w:val="91"/>
              </w:rPr>
              <w:t>Chairman and Director</w:t>
            </w:r>
          </w:p>
        </w:tc>
        <w:tc>
          <w:tcPr>
            <w:tcW w:w="1780" w:type="dxa"/>
            <w:vAlign w:val="bottom"/>
          </w:tcPr>
          <w:p>
            <w:pPr>
              <w:ind w:left="580"/>
              <w:spacing w:after="0"/>
              <w:rPr>
                <w:sz w:val="20"/>
                <w:szCs w:val="20"/>
                <w:color w:val="auto"/>
              </w:rPr>
            </w:pPr>
            <w:r>
              <w:rPr>
                <w:rFonts w:ascii="Arial" w:cs="Arial" w:eastAsia="Arial" w:hAnsi="Arial"/>
                <w:sz w:val="18"/>
                <w:szCs w:val="18"/>
                <w:color w:val="auto"/>
                <w:w w:val="89"/>
              </w:rPr>
              <w:t>August 21,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John L. Walsh</w:t>
            </w:r>
          </w:p>
        </w:tc>
        <w:tc>
          <w:tcPr>
            <w:tcW w:w="47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Roger Perreault</w:t>
            </w:r>
          </w:p>
        </w:tc>
        <w:tc>
          <w:tcPr>
            <w:tcW w:w="47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580"/>
              <w:spacing w:after="0"/>
              <w:rPr>
                <w:sz w:val="20"/>
                <w:szCs w:val="20"/>
                <w:color w:val="auto"/>
              </w:rPr>
            </w:pPr>
            <w:r>
              <w:rPr>
                <w:rFonts w:ascii="Arial" w:cs="Arial" w:eastAsia="Arial" w:hAnsi="Arial"/>
                <w:sz w:val="18"/>
                <w:szCs w:val="18"/>
                <w:color w:val="auto"/>
                <w:w w:val="89"/>
              </w:rPr>
              <w:t>August 21,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Roger Perreault</w:t>
            </w:r>
          </w:p>
        </w:tc>
        <w:tc>
          <w:tcPr>
            <w:tcW w:w="47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Monica M. Gaudiosi</w:t>
            </w:r>
          </w:p>
        </w:tc>
        <w:tc>
          <w:tcPr>
            <w:tcW w:w="47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580"/>
              <w:spacing w:after="0"/>
              <w:rPr>
                <w:sz w:val="20"/>
                <w:szCs w:val="20"/>
                <w:color w:val="auto"/>
              </w:rPr>
            </w:pPr>
            <w:r>
              <w:rPr>
                <w:rFonts w:ascii="Arial" w:cs="Arial" w:eastAsia="Arial" w:hAnsi="Arial"/>
                <w:sz w:val="18"/>
                <w:szCs w:val="18"/>
                <w:color w:val="auto"/>
                <w:w w:val="89"/>
              </w:rPr>
              <w:t>August 21,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Monica M. Gaudiosi</w:t>
            </w:r>
          </w:p>
        </w:tc>
        <w:tc>
          <w:tcPr>
            <w:tcW w:w="47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Ted J. Jastrzebski</w:t>
            </w:r>
          </w:p>
        </w:tc>
        <w:tc>
          <w:tcPr>
            <w:tcW w:w="47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580"/>
              <w:spacing w:after="0"/>
              <w:rPr>
                <w:sz w:val="20"/>
                <w:szCs w:val="20"/>
                <w:color w:val="auto"/>
              </w:rPr>
            </w:pPr>
            <w:r>
              <w:rPr>
                <w:rFonts w:ascii="Arial" w:cs="Arial" w:eastAsia="Arial" w:hAnsi="Arial"/>
                <w:sz w:val="18"/>
                <w:szCs w:val="18"/>
                <w:color w:val="auto"/>
                <w:w w:val="89"/>
              </w:rPr>
              <w:t>August 21,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6"/>
              </w:rPr>
              <w:t>Ted J. Jastrzebski</w:t>
            </w:r>
          </w:p>
        </w:tc>
        <w:tc>
          <w:tcPr>
            <w:tcW w:w="476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2019-11-29T23:36:13Z</dcterms:created>
  <dcterms:modified xsi:type="dcterms:W3CDTF">2019-11-29T23:36:13Z</dcterms:modified>
</cp:coreProperties>
</file>