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232026_080650.xml.htm"/>
      <w:bookmarkStart w:id="1" w:name="ksform406232026_08065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Shea-Ballay Kathleen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NORTH GULPH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KING OF PRUSSIA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19406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UGI CORP /PA/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UGI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GC and Chief Legal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7"/>
        <w:gridCol w:w="915"/>
        <w:gridCol w:w="784"/>
        <w:gridCol w:w="607"/>
        <w:gridCol w:w="345"/>
        <w:gridCol w:w="921"/>
        <w:gridCol w:w="437"/>
        <w:gridCol w:w="984"/>
        <w:gridCol w:w="1139"/>
        <w:gridCol w:w="98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UGI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25,360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24.6</w:t>
            </w:r>
            <w:r>
              <w:rPr/>
              <w:t xml:space="preserve"> 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25,360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UGI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25,360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33.6157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24.6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25,360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UGI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25,360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12,680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of common stock with respect to this transaction were purchased at prices ranging from $33.58 and $33.89. Upon request, UGI Corporation will provide to the U.S. Securities and Exchange Commission staff, or a security holder of UGI Corporation, full information regarding the number of shares of common stock purchased at each separate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Pamela A. Meredith, Attorney-in-Fact for Kathleen Shea-Ballay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5118" TargetMode="External"/><Relationship Id="rId5" Type="http://schemas.openxmlformats.org/officeDocument/2006/relationships/hyperlink" Target="http://www.sec.gov/cgi-bin/browse-edgar?action=getcompany&amp;CIK=00008846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651</Words>
  <Characters>3516</Characters>
  <CharactersWithSpaces>4091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