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80" w:after="283"/>
        <w:jc w:val="center"/>
        <w:rPr>
          <w:color w:val="000000"/>
        </w:rPr>
      </w:pPr>
      <w:r>
        <w:rPr>
          <w:color w:val="000000"/>
        </w:rPr>
        <w:t> </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FORM 11-K</w:t>
      </w:r>
    </w:p>
    <w:p>
      <w:pPr>
        <w:pStyle w:val="TextBody"/>
        <w:bidi w:val="0"/>
        <w:spacing w:lineRule="auto" w:line="288" w:before="80" w:after="283"/>
        <w:jc w:val="center"/>
        <w:rPr>
          <w:color w:val="000000"/>
        </w:rPr>
      </w:pPr>
      <w:r>
        <w:rPr>
          <w:color w:val="000000"/>
        </w:rPr>
        <w:t> </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ANNUAL REPORT PURSUANT TO SECTION 15(d) OF THE SECURITIES EXCHANGE ACT OF 1934</w:t>
            </w:r>
          </w:p>
        </w:tc>
      </w:tr>
    </w:tbl>
    <w:p>
      <w:pPr>
        <w:pStyle w:val="TextBody"/>
        <w:bidi w:val="0"/>
        <w:spacing w:lineRule="auto" w:line="288" w:before="180" w:after="283"/>
        <w:ind w:left="0" w:right="0" w:firstLine="495"/>
        <w:jc w:val="left"/>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15(d) OF THE SECURITIES EXCHANGE ACT OF 1934</w:t>
            </w:r>
          </w:p>
        </w:tc>
      </w:tr>
    </w:tbl>
    <w:p>
      <w:pPr>
        <w:pStyle w:val="TextBody"/>
        <w:bidi w:val="0"/>
        <w:spacing w:lineRule="auto" w:line="288" w:before="180" w:after="283"/>
        <w:ind w:left="0" w:right="0" w:firstLine="495"/>
        <w:jc w:val="left"/>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Commission file number: 001-11071</w:t>
      </w:r>
    </w:p>
    <w:p>
      <w:pPr>
        <w:pStyle w:val="TextBody"/>
        <w:bidi w:val="0"/>
        <w:spacing w:lineRule="auto" w:line="288" w:before="80" w:after="283"/>
        <w:jc w:val="center"/>
        <w:rPr>
          <w:color w:val="000000"/>
        </w:rPr>
      </w:pPr>
      <w:r>
        <w:rPr>
          <w:color w:val="000000"/>
        </w:rPr>
        <w:t> </w:t>
      </w:r>
    </w:p>
    <w:tbl>
      <w:tblPr>
        <w:tblW w:w="8246" w:type="dxa"/>
        <w:jc w:val="left"/>
        <w:tblInd w:w="0" w:type="dxa"/>
        <w:tblLayout w:type="fixed"/>
        <w:tblCellMar>
          <w:top w:w="28" w:type="dxa"/>
          <w:left w:w="28" w:type="dxa"/>
          <w:bottom w:w="28" w:type="dxa"/>
          <w:right w:w="28" w:type="dxa"/>
        </w:tblCellMar>
      </w:tblPr>
      <w:tblGrid>
        <w:gridCol w:w="124"/>
        <w:gridCol w:w="109"/>
        <w:gridCol w:w="109"/>
        <w:gridCol w:w="2312"/>
        <w:gridCol w:w="2312"/>
        <w:gridCol w:w="32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32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7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Full title of the plan and the address of the plan, if different from that of the issuer named below:</w:t>
            </w:r>
          </w:p>
        </w:tc>
      </w:tr>
    </w:tbl>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UGI UTILITIES, INC. SAVINGS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ONE UGI DRIVE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DENVER, PA 17517</w:t>
      </w:r>
    </w:p>
    <w:p>
      <w:pPr>
        <w:pStyle w:val="TextBody"/>
        <w:bidi w:val="0"/>
        <w:spacing w:lineRule="auto" w:line="288" w:before="0" w:after="0"/>
        <w:jc w:val="left"/>
        <w:rPr>
          <w:color w:val="000000"/>
        </w:rPr>
      </w:pPr>
      <w:r>
        <w:rPr>
          <w:color w:val="000000"/>
        </w:rPr>
        <w:t> </w:t>
      </w:r>
    </w:p>
    <w:tbl>
      <w:tblPr>
        <w:tblW w:w="8996" w:type="dxa"/>
        <w:jc w:val="left"/>
        <w:tblInd w:w="0" w:type="dxa"/>
        <w:tblLayout w:type="fixed"/>
        <w:tblCellMar>
          <w:top w:w="28" w:type="dxa"/>
          <w:left w:w="28" w:type="dxa"/>
          <w:bottom w:w="28" w:type="dxa"/>
          <w:right w:w="28" w:type="dxa"/>
        </w:tblCellMar>
      </w:tblPr>
      <w:tblGrid>
        <w:gridCol w:w="124"/>
        <w:gridCol w:w="109"/>
        <w:gridCol w:w="109"/>
        <w:gridCol w:w="2534"/>
        <w:gridCol w:w="2534"/>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35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8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of issuer of the securities held pursuant to the plan and the address of its principal executive office:</w:t>
            </w:r>
          </w:p>
        </w:tc>
      </w:tr>
    </w:tbl>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UGI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500 NORTH GULPH ROAD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KING OF PRUSSIA, PENNSYLVANIA 19406</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UTILITIES,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SAVINGS PLAN</w:t>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INDEX TO FINANCIAL STATEMENTS AND SUPPLEMENTAL SCHEDULE</w:t>
      </w:r>
    </w:p>
    <w:p>
      <w:pPr>
        <w:pStyle w:val="TextBody"/>
        <w:bidi w:val="0"/>
        <w:spacing w:lineRule="auto" w:line="288" w:before="0" w:after="0"/>
        <w:jc w:val="left"/>
        <w:rPr>
          <w:color w:val="000000"/>
        </w:rPr>
      </w:pPr>
      <w:r>
        <w:rPr>
          <w:color w:val="000000"/>
        </w:rPr>
        <w:t> </w:t>
      </w:r>
    </w:p>
    <w:tbl>
      <w:tblPr>
        <w:tblW w:w="9555" w:type="dxa"/>
        <w:jc w:val="left"/>
        <w:tblInd w:w="0" w:type="dxa"/>
        <w:tblLayout w:type="fixed"/>
        <w:tblCellMar>
          <w:top w:w="28" w:type="dxa"/>
          <w:left w:w="28" w:type="dxa"/>
          <w:bottom w:w="28" w:type="dxa"/>
          <w:right w:w="28" w:type="dxa"/>
        </w:tblCellMar>
      </w:tblPr>
      <w:tblGrid>
        <w:gridCol w:w="3219"/>
        <w:gridCol w:w="2830"/>
        <w:gridCol w:w="2846"/>
        <w:gridCol w:w="193"/>
        <w:gridCol w:w="193"/>
        <w:gridCol w:w="274"/>
      </w:tblGrid>
      <w:tr>
        <w:trPr/>
        <w:tc>
          <w:tcPr>
            <w:tcW w:w="3219"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8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Page(s)</w:t>
            </w:r>
          </w:p>
        </w:tc>
      </w:tr>
      <w:tr>
        <w:trPr/>
        <w:tc>
          <w:tcPr>
            <w:tcW w:w="8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Report of Independent Registered Public Accounting Firm </w:t>
            </w:r>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4442865f6e4619ad84bcd63bfe8545_7">
              <w:r>
                <w:rPr>
                  <w:rStyle w:val="InternetLink"/>
                  <w:rFonts w:ascii="Times New Roman;serif" w:hAnsi="Times New Roman;serif"/>
                  <w:b w:val="false"/>
                  <w:strike w:val="false"/>
                  <w:dstrike w:val="false"/>
                  <w:color w:val="000000"/>
                  <w:sz w:val="20"/>
                  <w:u w:val="none"/>
                  <w:effect w:val="none"/>
                </w:rPr>
                <w:t>1</w:t>
              </w:r>
            </w:hyperlink>
          </w:p>
        </w:tc>
      </w:tr>
      <w:tr>
        <w:trPr/>
        <w:tc>
          <w:tcPr>
            <w:tcW w:w="8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Statements of Net Assets Available for Benefits at December 31, 2025 and 2024</w:t>
            </w:r>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4442865f6e4619ad84bcd63bfe8545_13">
              <w:r>
                <w:rPr>
                  <w:rStyle w:val="InternetLink"/>
                  <w:rFonts w:ascii="Times New Roman;serif" w:hAnsi="Times New Roman;serif"/>
                  <w:b w:val="false"/>
                  <w:strike w:val="false"/>
                  <w:dstrike w:val="false"/>
                  <w:color w:val="000000"/>
                  <w:sz w:val="20"/>
                  <w:u w:val="none"/>
                  <w:effect w:val="none"/>
                </w:rPr>
                <w:t>2</w:t>
              </w:r>
            </w:hyperlink>
          </w:p>
        </w:tc>
      </w:tr>
      <w:tr>
        <w:trPr/>
        <w:tc>
          <w:tcPr>
            <w:tcW w:w="8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Statements of Changes in Net Assets Available for Benefits for the years ended December 31, 2025 and 2024</w:t>
            </w:r>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4442865f6e4619ad84bcd63bfe8545_16">
              <w:r>
                <w:rPr>
                  <w:rStyle w:val="InternetLink"/>
                  <w:rFonts w:ascii="Times New Roman;serif" w:hAnsi="Times New Roman;serif"/>
                  <w:b w:val="false"/>
                  <w:strike w:val="false"/>
                  <w:dstrike w:val="false"/>
                  <w:color w:val="000000"/>
                  <w:sz w:val="20"/>
                  <w:u w:val="none"/>
                  <w:effect w:val="none"/>
                </w:rPr>
                <w:t>3</w:t>
              </w:r>
            </w:hyperlink>
          </w:p>
        </w:tc>
      </w:tr>
      <w:tr>
        <w:trPr/>
        <w:tc>
          <w:tcPr>
            <w:tcW w:w="8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Financial Statements</w:t>
            </w:r>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4442865f6e4619ad84bcd63bfe8545_19">
              <w:r>
                <w:rPr>
                  <w:rStyle w:val="InternetLink"/>
                  <w:rFonts w:ascii="Times New Roman;serif" w:hAnsi="Times New Roman;serif"/>
                  <w:b w:val="false"/>
                  <w:strike w:val="false"/>
                  <w:dstrike w:val="false"/>
                  <w:color w:val="000000"/>
                  <w:sz w:val="20"/>
                  <w:u w:val="none"/>
                  <w:effect w:val="none"/>
                </w:rPr>
                <w:t>4</w:t>
              </w:r>
            </w:hyperlink>
          </w:p>
        </w:tc>
      </w:tr>
      <w:tr>
        <w:trPr/>
        <w:tc>
          <w:tcPr>
            <w:tcW w:w="8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5"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r>
      <w:tr>
        <w:trPr/>
        <w:tc>
          <w:tcPr>
            <w:tcW w:w="8895"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 H, Line Item 4(i) — Schedule of Assets (Held at End of Year)</w:t>
            </w:r>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4442865f6e4619ad84bcd63bfe8545_34">
              <w:r>
                <w:rPr>
                  <w:rStyle w:val="InternetLink"/>
                  <w:rFonts w:ascii="Times New Roman;serif" w:hAnsi="Times New Roman;serif"/>
                  <w:b w:val="false"/>
                  <w:strike w:val="false"/>
                  <w:dstrike w:val="false"/>
                  <w:color w:val="000000"/>
                  <w:sz w:val="20"/>
                  <w:u w:val="none"/>
                  <w:effect w:val="none"/>
                </w:rPr>
                <w:t>10</w:t>
              </w:r>
            </w:hyperlink>
          </w:p>
        </w:tc>
      </w:tr>
      <w:tr>
        <w:trPr/>
        <w:tc>
          <w:tcPr>
            <w:tcW w:w="8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4442865f6e4619ad84bcd63bfe8545_37">
              <w:r>
                <w:rPr>
                  <w:rStyle w:val="InternetLink"/>
                  <w:rFonts w:ascii="Times New Roman;serif" w:hAnsi="Times New Roman;serif"/>
                  <w:b w:val="false"/>
                  <w:strike w:val="false"/>
                  <w:dstrike w:val="false"/>
                  <w:color w:val="000000"/>
                  <w:sz w:val="20"/>
                  <w:u w:val="none"/>
                  <w:effect w:val="none"/>
                </w:rPr>
                <w:t>11</w:t>
              </w:r>
            </w:hyperlink>
          </w:p>
        </w:tc>
      </w:tr>
      <w:tr>
        <w:trPr/>
        <w:tc>
          <w:tcPr>
            <w:tcW w:w="8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Index</w:t>
            </w:r>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4442865f6e4619ad84bcd63bfe8545_40">
              <w:r>
                <w:rPr>
                  <w:rStyle w:val="InternetLink"/>
                  <w:rFonts w:ascii="Times New Roman;serif" w:hAnsi="Times New Roman;serif"/>
                  <w:b w:val="false"/>
                  <w:strike w:val="false"/>
                  <w:dstrike w:val="false"/>
                  <w:color w:val="000000"/>
                  <w:sz w:val="20"/>
                  <w:u w:val="none"/>
                  <w:effect w:val="none"/>
                </w:rPr>
                <w:t>12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 i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 i -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the UGI Utilities, Inc. Savings Plan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Plan Administrator and Plan Participants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statements of net assets available for benefits of UGI Utilities, Inc. Savings Plan (the “Plan”) as of December 31, 2025 and 2024, and the related statements of changes in net assets available for benefits for the years then ended, and the related notes and schedule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years then ended, in conformity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Supplemental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Schedule H, Line 4i –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Wipfli LLP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served as Plan’s auditor since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Minneapolis, Minnesota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June 24,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UTILITIES,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SAVINGS PLAN</w:t>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STATEMENTS OF NET ASSETS AVAILABLE FOR BENEFITS</w:t>
      </w:r>
    </w:p>
    <w:p>
      <w:pPr>
        <w:pStyle w:val="TextBody"/>
        <w:bidi w:val="0"/>
        <w:spacing w:lineRule="auto" w:line="288" w:before="0" w:after="0"/>
        <w:jc w:val="left"/>
        <w:rPr>
          <w:color w:val="000000"/>
        </w:rPr>
      </w:pPr>
      <w:r>
        <w:rPr>
          <w:color w:val="000000"/>
        </w:rPr>
        <w:t> </w:t>
      </w:r>
    </w:p>
    <w:tbl>
      <w:tblPr>
        <w:tblW w:w="6846" w:type="dxa"/>
        <w:jc w:val="left"/>
        <w:tblInd w:w="0" w:type="dxa"/>
        <w:tblLayout w:type="fixed"/>
        <w:tblCellMar>
          <w:top w:w="28" w:type="dxa"/>
          <w:left w:w="28" w:type="dxa"/>
          <w:bottom w:w="28" w:type="dxa"/>
          <w:right w:w="28" w:type="dxa"/>
        </w:tblCellMar>
      </w:tblPr>
      <w:tblGrid>
        <w:gridCol w:w="1136"/>
        <w:gridCol w:w="995"/>
        <w:gridCol w:w="1004"/>
        <w:gridCol w:w="109"/>
        <w:gridCol w:w="109"/>
        <w:gridCol w:w="109"/>
        <w:gridCol w:w="211"/>
        <w:gridCol w:w="1186"/>
        <w:gridCol w:w="109"/>
        <w:gridCol w:w="109"/>
        <w:gridCol w:w="109"/>
        <w:gridCol w:w="109"/>
        <w:gridCol w:w="211"/>
        <w:gridCol w:w="1186"/>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703,628,323 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607,996,443 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Participants' contributions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Employers' contributions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from participants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8,549,239 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8,125,678 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713,896,463 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617,609,302 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contributions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available for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713,845,632 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617,563,077 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UTILITIES,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SAVINGS PLAN</w:t>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STATEMENTS OF CHANGES IN NET ASSETS AVAILABLE FOR BENEFITS</w:t>
      </w:r>
    </w:p>
    <w:p>
      <w:pPr>
        <w:pStyle w:val="TextBody"/>
        <w:bidi w:val="0"/>
        <w:spacing w:lineRule="auto" w:line="288" w:before="0" w:after="0"/>
        <w:jc w:val="left"/>
        <w:rPr>
          <w:color w:val="000000"/>
        </w:rPr>
      </w:pPr>
      <w:r>
        <w:rPr>
          <w:color w:val="000000"/>
        </w:rPr>
        <w:t> </w:t>
      </w:r>
    </w:p>
    <w:tbl>
      <w:tblPr>
        <w:tblW w:w="8016" w:type="dxa"/>
        <w:jc w:val="left"/>
        <w:tblInd w:w="0" w:type="dxa"/>
        <w:tblLayout w:type="fixed"/>
        <w:tblCellMar>
          <w:top w:w="28" w:type="dxa"/>
          <w:left w:w="28" w:type="dxa"/>
          <w:bottom w:w="28" w:type="dxa"/>
          <w:right w:w="28" w:type="dxa"/>
        </w:tblCellMar>
      </w:tblPr>
      <w:tblGrid>
        <w:gridCol w:w="1559"/>
        <w:gridCol w:w="1366"/>
        <w:gridCol w:w="1380"/>
        <w:gridCol w:w="109"/>
        <w:gridCol w:w="109"/>
        <w:gridCol w:w="109"/>
        <w:gridCol w:w="211"/>
        <w:gridCol w:w="1186"/>
        <w:gridCol w:w="109"/>
        <w:gridCol w:w="109"/>
        <w:gridCol w:w="109"/>
        <w:gridCol w:w="109"/>
        <w:gridCol w:w="211"/>
        <w:gridCol w:w="1186"/>
        <w:gridCol w:w="154"/>
      </w:tblGrid>
      <w:tr>
        <w:trPr/>
        <w:tc>
          <w:tcPr>
            <w:tcW w:w="155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Participants’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24,678,777 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23,198,253 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Employers’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12,942,926 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12,126,520 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Participants’ rollover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and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8,313,063 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8,954,547 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appreciation in fair value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103,803,535 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84,295,373 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notes receivable from participants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152,734,953 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131,247,844 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participants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(57,141,450)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(66,517,207)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deductions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(57,443,681)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(66,769,361)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95,291,272 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64,478,483 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transfers of participants’ balances (Note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available for benefits—beginning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617,563,077 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551,962,075 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available for benefits—end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713,845,632 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617,563,077 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See accompanying notes to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UTILITIES,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SAVINGS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100" w:after="283"/>
        <w:jc w:val="both"/>
        <w:rPr/>
      </w:pPr>
      <w:r>
        <w:rPr>
          <w:rFonts w:ascii="Times New Roman;serif" w:hAnsi="Times New Roman;serif"/>
          <w:b/>
          <w:color w:val="000000"/>
          <w:sz w:val="20"/>
        </w:rPr>
        <w:t xml:space="preserve">1. </w:t>
      </w:r>
      <w:r>
        <w:rPr>
          <w:rFonts w:ascii="Times New Roman;serif" w:hAnsi="Times New Roman;serif"/>
          <w:b/>
          <w:color w:val="000000"/>
          <w:sz w:val="20"/>
          <w:u w:val="single"/>
        </w:rPr>
        <w:t>Description of the Plan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description of the UGI Utilities, Inc. Savings Plan (the “Plan”) is provided for general information purposes only. Unless otherwise noted, such description provides general information on the provisions of the Plan on December 31, 2025 and 2024 and for the years then ended covered by the financial statements. More complete information is included in the Plan document. </w:t>
      </w:r>
    </w:p>
    <w:p>
      <w:pPr>
        <w:pStyle w:val="TextBody"/>
        <w:bidi w:val="0"/>
        <w:spacing w:lineRule="auto" w:line="288" w:before="180" w:after="283"/>
        <w:jc w:val="both"/>
        <w:rPr/>
      </w:pPr>
      <w:r>
        <w:rPr>
          <w:rFonts w:ascii="Times New Roman;serif" w:hAnsi="Times New Roman;serif"/>
          <w:b/>
          <w:color w:val="000000"/>
          <w:sz w:val="20"/>
        </w:rPr>
        <w:t>General</w:t>
      </w:r>
      <w:r>
        <w:rPr>
          <w:rFonts w:ascii="Times New Roman;serif" w:hAnsi="Times New Roman;serif"/>
          <w:b w:val="false"/>
          <w:color w:val="000000"/>
          <w:sz w:val="20"/>
        </w:rPr>
        <w:t xml:space="preserve">. The Plan is a defined contribution plan covering employees of UGI Utilities, Inc. and its subsidiaries (collectively, “UGI Utilities”), its holding company parent, UGI Corporation (“UGI”), and certain affiliated companies (collectively, the “Employers”). Employees of the Employers are eligible upon hire to participate in the Plan. The Plan is subject to the provisions of the Employee Retirement Income Security Act of 1974, as amended (“ERISA”). The Plan is administered by the UGI Corporation Retirement Plan Committee (“Plan Administrator”), which is comprised of certain members of Employers' management. </w:t>
      </w:r>
    </w:p>
    <w:p>
      <w:pPr>
        <w:pStyle w:val="TextBody"/>
        <w:bidi w:val="0"/>
        <w:spacing w:lineRule="auto" w:line="288" w:before="180" w:after="283"/>
        <w:jc w:val="both"/>
        <w:rPr/>
      </w:pPr>
      <w:r>
        <w:rPr>
          <w:rFonts w:ascii="Times New Roman;serif" w:hAnsi="Times New Roman;serif"/>
          <w:b/>
          <w:color w:val="000000"/>
          <w:sz w:val="20"/>
        </w:rPr>
        <w:t>Contributions.</w:t>
      </w:r>
      <w:r>
        <w:rPr>
          <w:color w:val="000000"/>
        </w:rPr>
        <w:t xml:space="preserve"> </w:t>
      </w:r>
      <w:r>
        <w:rPr>
          <w:rFonts w:ascii="Times New Roman;serif" w:hAnsi="Times New Roman;serif"/>
          <w:b w:val="false"/>
          <w:color w:val="000000"/>
          <w:sz w:val="20"/>
        </w:rPr>
        <w:t>Generally, a participant may elect to contribute to the Plan in an amount ranging from 1% to 50%, in whole percentages, of eligible compensation on a before-tax basis, on an after-tax basis to a Roth 401(k), or a combination of both. After-tax basis contributions, including Roth 401(k) contributions, are not to exceed 30% of the participant's total deferral of eligible compensation, provided that the combination of before-tax and after-tax contributions does not exceed 50% of eligible compensation. Calendar year contribution amounts are subject to limits prescribed by the Internal Revenue Code (“IRC”) and the Plan. For the 2025 and 2024 Plan Years, the IRC before-tax and Roth 401(k) contribution limit was $23,500 and $23,000, respectively. Participants may also contribute amounts representing distributions from other qualified defined benefit or contribution plans. The Plan includes an auto-enrollment provision whereby all newly eligible employees are automatically enrolled in the Plan, unless they affirmatively elect not to participate, with a default deferral rate set at 4% of eligible compensation in Plan Years 2025 and 2024.</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Plan allows for “catch-up contributions,” a provision which allows employees that have attained age 50 before the end of the Plan Year and are contributing at the IRC or Plan limits to make before-tax and Roth 401(k) contributions over and above the IRC and Plan limits. The maximum catch-up contribution was $7,500 for both the 2025 and 2024 Plan Years. Effective January 1, 2025, pursuant to the SECURE 2.0 Act of 2022, participants who attain ages 60 through 63 during the Plan Year are eligible to make enhanced "super catch-up" contributions up to $11,250 for the 2025 Plan Year, which represents the greater of $10,000 or 150% of the standard catch-up limit. Participants who attain age 64 by the end of the Plan Year revert to the standard age 50 catch-up limit. Catch-up contributions are not eligible for the Employers' matching contribution.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each pay period during a Plan Year, the Employers may, at their discretion, make a contribution to the Plan equal to a percentage of participant before-tax and after-tax contributions. Generally, for pension eligible employees hired prior to January 1, 2009, the Employers' matching contribution is equal to 50% of the first 3% of eligible compensation and 25% of the next 3% of eligible compensation that such participant has elected to make on his or her behalf in salary deferrals to the Plan or has elected to contribute to the plan as after-tax contributions. Generally, eligible employees who are not pension eligible, hired on or after January 1, 2009, receive an Employers' matching contribution of 100% of up to 6% of eligible compensation, and eligible employees who were Mountaineer Gas Company employees, hired prior to January 1, 2023, receive an Employers' matching contribution of 50% of up to 6% of eligible compensation.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contributions are invested in accordance with participant investment elections in effect on the dates of the contributions. </w:t>
      </w:r>
    </w:p>
    <w:p>
      <w:pPr>
        <w:pStyle w:val="TextBody"/>
        <w:bidi w:val="0"/>
        <w:spacing w:lineRule="auto" w:line="288" w:before="180" w:after="283"/>
        <w:jc w:val="both"/>
        <w:rPr/>
      </w:pPr>
      <w:r>
        <w:rPr>
          <w:rFonts w:ascii="Times New Roman;serif" w:hAnsi="Times New Roman;serif"/>
          <w:b/>
          <w:color w:val="000000"/>
          <w:sz w:val="20"/>
        </w:rPr>
        <w:t>Participant Accounts.</w:t>
      </w:r>
      <w:r>
        <w:rPr>
          <w:color w:val="000000"/>
        </w:rPr>
        <w:t xml:space="preserve"> </w:t>
      </w:r>
      <w:r>
        <w:rPr>
          <w:rFonts w:ascii="Times New Roman;serif" w:hAnsi="Times New Roman;serif"/>
          <w:b w:val="false"/>
          <w:color w:val="000000"/>
          <w:sz w:val="20"/>
        </w:rPr>
        <w:t>Each participant's account is credited with the participant's contributions and the Employers' contributions as well as allocations of Plan earnings. Participants are charged with an allocation of administrative expenses, as defined in the Plan document. The benefit to which a participant is entitled is the benefit that can be provided from the participant's vested account.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participant may elect to have his or her funds invested in one or more investment options. The Plan currently offers investments in selected mutual funds, UGI Common Stock, common collective trust funds, a collective investment trust fund and Brokerage Link, a self-directed brokerage account. Generally, participants may transfer amounts between funds at any time with no limit. Fidelity Management Trust Company is the Plan’s Trustee for all investment assets of the Plan and qualifies as a party in interest. The Statements of Changes in Net Assets Available for Benefits reflects certain administrative fees paid by Plan participants to Fidelity Institutional Retirement Services Co. (“FIRSCO”) from Plan assets (see “Administrative Expenses” below). FIRSCO invests funds received from contributions, investment sales, interest and dividend income and makes distribution payments to participants. Investments in UGI Common Stock are generally limited to 25% of a participant's account balance.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UTILITIES,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SAVINGS PLAN</w:t>
      </w:r>
    </w:p>
    <w:p>
      <w:pPr>
        <w:pStyle w:val="TextBody"/>
        <w:bidi w:val="0"/>
        <w:spacing w:lineRule="auto" w:line="288" w:before="100" w:after="283"/>
        <w:jc w:val="center"/>
        <w:rPr/>
      </w:pPr>
      <w:r>
        <w:rPr>
          <w:rFonts w:ascii="Times New Roman;serif" w:hAnsi="Times New Roman;serif"/>
          <w:b/>
          <w:color w:val="000000"/>
          <w:sz w:val="20"/>
        </w:rPr>
        <w:t>NOTES TO FINANCIAL STATEMENTS</w:t>
      </w:r>
      <w:r>
        <w:rPr>
          <w:color w:val="000000"/>
        </w:rPr>
        <w:t xml:space="preserve"> </w:t>
      </w:r>
      <w:r>
        <w:rPr>
          <w:rFonts w:ascii="Times New Roman;serif" w:hAnsi="Times New Roman;serif"/>
          <w:b w:val="false"/>
          <w:color w:val="000000"/>
          <w:sz w:val="20"/>
        </w:rPr>
        <w:t xml:space="preserve">(Continued) </w:t>
      </w:r>
    </w:p>
    <w:p>
      <w:pPr>
        <w:pStyle w:val="TextBody"/>
        <w:bidi w:val="0"/>
        <w:spacing w:before="0" w:after="0"/>
        <w:jc w:val="left"/>
        <w:rPr/>
      </w:pPr>
      <w:r>
        <w:rPr/>
      </w:r>
    </w:p>
    <w:p>
      <w:pPr>
        <w:pStyle w:val="TextBody"/>
        <w:bidi w:val="0"/>
        <w:spacing w:lineRule="auto" w:line="288" w:before="180" w:after="283"/>
        <w:jc w:val="both"/>
        <w:rPr/>
      </w:pPr>
      <w:r>
        <w:rPr>
          <w:rFonts w:ascii="Times New Roman;serif" w:hAnsi="Times New Roman;serif"/>
          <w:b/>
          <w:color w:val="000000"/>
          <w:sz w:val="20"/>
        </w:rPr>
        <w:t>Vesting.</w:t>
      </w:r>
      <w:r>
        <w:rPr>
          <w:color w:val="000000"/>
        </w:rPr>
        <w:t xml:space="preserve"> </w:t>
      </w:r>
      <w:r>
        <w:rPr>
          <w:rFonts w:ascii="Times New Roman;serif" w:hAnsi="Times New Roman;serif"/>
          <w:b w:val="false"/>
          <w:color w:val="000000"/>
          <w:sz w:val="20"/>
        </w:rPr>
        <w:t xml:space="preserve">A participant will, at all times, be fully vested in their cumulative contributions, including Employer matching contributions, plus actual earnings as defined by the Plan document. Certain Plan participants covered by collective bargaining agreements have a different vesting schedule for Employers' matching contributions. </w:t>
      </w:r>
    </w:p>
    <w:p>
      <w:pPr>
        <w:pStyle w:val="TextBody"/>
        <w:bidi w:val="0"/>
        <w:spacing w:lineRule="auto" w:line="288" w:before="180" w:after="283"/>
        <w:jc w:val="both"/>
        <w:rPr/>
      </w:pPr>
      <w:r>
        <w:rPr>
          <w:rFonts w:ascii="Times New Roman;serif" w:hAnsi="Times New Roman;serif"/>
          <w:b/>
          <w:color w:val="000000"/>
          <w:sz w:val="20"/>
        </w:rPr>
        <w:t>Notes Receivable from Participants</w:t>
      </w:r>
      <w:r>
        <w:rPr>
          <w:rFonts w:ascii="Times New Roman;serif" w:hAnsi="Times New Roman;serif"/>
          <w:b w:val="false"/>
          <w:color w:val="000000"/>
          <w:sz w:val="20"/>
        </w:rPr>
        <w:t>. Generally, at the time a loan is to be made, the amount of all loans to be outstanding may not exceed the lesser of (i) 50% of a participant’s vested account balance, or (ii) $50,000 less the highest balance of any loan during the prior twelve-month period. The minimum loan amount is $1,000. Each loan bears interest at a rate determined in accordance with generally prevailing market conditions for similar types of loans plus 1%. At December 31, 2025, interest rates on loans outstanding ranged from 4.25% to 9.50%. The amount of the loan withdrawn from a participant's account is allocated in proportion to the value of the participant’s salary deferral and rollover account balances in each investment fund. Repayments, including interest, are made in equal installments through payroll deductions and are allocated to participant accounts in accordance with current investment elections. No loan may have a final maturity in excess of five years except that if the loan is used to purchase a principal residence for the participant, the loan may have a final maturity longer than five years. Participants are not permitted to have more than two loans outstanding at any time.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0"/>
        </w:rPr>
        <w:t xml:space="preserve">Payment of Benefits. </w:t>
      </w:r>
      <w:r>
        <w:rPr>
          <w:rFonts w:ascii="Times New Roman;serif" w:hAnsi="Times New Roman;serif"/>
          <w:b w:val="false"/>
          <w:color w:val="000000"/>
          <w:sz w:val="20"/>
        </w:rPr>
        <w:t xml:space="preserve">The Plan benefit of a participant who terminates employment as a result of retirement, death or total disability, as defined by the Plan document, shall be equal to the proceeds of liquidation of 100% of the balance of his or her account. Participants may elect to receive their interest in shares of UGI Common Stock. The Plan benefit of a participant who terminates employment for reasons other than retirement, death, or total disability, shall be equal to the proceeds of liquidation of the vested portion of his or her account.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Where the amount to be distributed exceeds $1,000, no distribution shall be made to any Plan participant prior to his or her retirement age or age 73 for Plan Years 2025 and 2024, unless the participant elects to receive such distribution. Where the amount to be distributed does not exceed $1,000, a Plan participant’s benefit will be distributed as soon as practicable after the participant becomes entitled to receive a distribution from the Plan, but no later than April 1 of the Plan Year. A participant who continues to work past age 73 for Plan Years 2025 and 2024 will receive a mandatory required distribution upon termination of employment.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hardship withdrawals and certain in-service withdrawals are permitted subject to Plan provisions.</w:t>
      </w:r>
    </w:p>
    <w:p>
      <w:pPr>
        <w:pStyle w:val="TextBody"/>
        <w:bidi w:val="0"/>
        <w:spacing w:lineRule="auto" w:line="288" w:before="0" w:after="0"/>
        <w:jc w:val="both"/>
        <w:rPr/>
      </w:pPr>
      <w:r>
        <w:rPr>
          <w:rFonts w:ascii="Times New Roman;serif" w:hAnsi="Times New Roman;serif"/>
          <w:b/>
          <w:color w:val="000000"/>
          <w:sz w:val="20"/>
        </w:rPr>
        <w:t>Forfeited Accounts.</w:t>
      </w:r>
      <w:r>
        <w:rPr>
          <w:color w:val="000000"/>
        </w:rPr>
        <w:t xml:space="preserve"> </w:t>
      </w:r>
      <w:r>
        <w:rPr>
          <w:rFonts w:ascii="Times New Roman;serif" w:hAnsi="Times New Roman;serif"/>
          <w:b w:val="false"/>
          <w:color w:val="000000"/>
          <w:sz w:val="20"/>
        </w:rPr>
        <w:t>A participant who terminated employment and is covered by collective bargaining agreements or who terminated employment prior to January 1, 2019, and before he or she was fully vested, forfeited nonvested amounts attributable to the Employers’ contributions, as defined by the Plan document. Forfeited amounts are available to reduce future Employers' contributions or pay expenses incurred in the administration of the Plan. For the 2025 and 2024 Plan Years, forfeitures used to reduce the Employers’ contributions were $157 and $28,093, respectively. During the 2025 and 2024 Plan Years, $10,249 and $41,268, respectively, were forfeited from participants’ accounts. As of December 31, 2025 and 2024, there were $53 and $9,234, respectively, of forfeitures remaining in the Plan.</w:t>
      </w:r>
    </w:p>
    <w:p>
      <w:pPr>
        <w:pStyle w:val="TextBody"/>
        <w:bidi w:val="0"/>
        <w:spacing w:lineRule="auto" w:line="288" w:before="180" w:after="283"/>
        <w:jc w:val="both"/>
        <w:rPr/>
      </w:pPr>
      <w:r>
        <w:rPr>
          <w:rFonts w:ascii="Times New Roman;serif" w:hAnsi="Times New Roman;serif"/>
          <w:b/>
          <w:color w:val="000000"/>
          <w:sz w:val="20"/>
        </w:rPr>
        <w:t>Administrative Expenses</w:t>
      </w:r>
      <w:r>
        <w:rPr>
          <w:rFonts w:ascii="Times New Roman;serif" w:hAnsi="Times New Roman;serif"/>
          <w:b w:val="false"/>
          <w:color w:val="000000"/>
          <w:sz w:val="20"/>
        </w:rPr>
        <w:t>. Administrative expenses of the Plan are chargeable to the Plan unless paid by the Employers. Other than the Plan fees described below, the Employers currently pay such expenses, which are excluded from these financial statements. During the Plan Years 2025 and 2024, each active Plan account was assessed a quarterly recordkeeping fee of $10.50 and $10.75, respectively. This fee is automatically deducted in the month following the end of the quarter and remitted to FIRSCO. Loan administration and withdrawal fees are paid by Plan participants. Investment related expenses are included in net appreciation of the fair value of investments.</w:t>
      </w:r>
    </w:p>
    <w:p>
      <w:pPr>
        <w:pStyle w:val="TextBody"/>
        <w:bidi w:val="0"/>
        <w:spacing w:lineRule="auto" w:line="288" w:before="180" w:after="283"/>
        <w:jc w:val="both"/>
        <w:rPr/>
      </w:pPr>
      <w:r>
        <w:rPr>
          <w:rFonts w:ascii="Times New Roman;serif" w:hAnsi="Times New Roman;serif"/>
          <w:b/>
          <w:color w:val="000000"/>
          <w:sz w:val="20"/>
        </w:rPr>
        <w:t>Voting Rights of UGI Common Stock Participants</w:t>
      </w:r>
      <w:r>
        <w:rPr>
          <w:rFonts w:ascii="Times New Roman;serif" w:hAnsi="Times New Roman;serif"/>
          <w:b w:val="false"/>
          <w:color w:val="000000"/>
          <w:sz w:val="20"/>
        </w:rPr>
        <w:t>. A participant has the right to instruct the trustee of the Plan how to vote, at each meeting of shareholders, all shares of UGI Common Stock (including fractional shares) represented by the value of the participant’s interest in UGI Common Stock. A participant also has the right to direct the trustee of the Plan whether or not to tender shares in response to a tender offer.</w:t>
      </w:r>
    </w:p>
    <w:p>
      <w:pPr>
        <w:pStyle w:val="TextBody"/>
        <w:bidi w:val="0"/>
        <w:spacing w:lineRule="auto" w:line="288" w:before="180" w:after="283"/>
        <w:jc w:val="both"/>
        <w:rPr/>
      </w:pPr>
      <w:r>
        <w:rPr>
          <w:rFonts w:ascii="Times New Roman;serif" w:hAnsi="Times New Roman;serif"/>
          <w:b/>
          <w:color w:val="000000"/>
          <w:sz w:val="20"/>
        </w:rPr>
        <w:t>Plan Amendments.</w:t>
      </w:r>
      <w:r>
        <w:rPr>
          <w:color w:val="000000"/>
        </w:rPr>
        <w:t xml:space="preserve"> </w:t>
      </w:r>
      <w:r>
        <w:rPr>
          <w:rFonts w:ascii="Times New Roman;serif" w:hAnsi="Times New Roman;serif"/>
          <w:b w:val="false"/>
          <w:color w:val="000000"/>
          <w:sz w:val="20"/>
        </w:rPr>
        <w:t xml:space="preserve">UGI Utilities may amend the Plan at any time for any reason by written action of the UGI Utilities Board of Directors. However, amendments that are necessary and appropriate to comply with laws or regulations, correct errors or omissions in the Plan document, and to facilitate the administration and operation of the Plan may be made by the Plan Administrator without Board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UTILITIES,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SAVINGS PLAN</w:t>
      </w:r>
    </w:p>
    <w:p>
      <w:pPr>
        <w:pStyle w:val="TextBody"/>
        <w:bidi w:val="0"/>
        <w:spacing w:lineRule="auto" w:line="288" w:before="100" w:after="283"/>
        <w:jc w:val="center"/>
        <w:rPr/>
      </w:pPr>
      <w:r>
        <w:rPr>
          <w:rFonts w:ascii="Times New Roman;serif" w:hAnsi="Times New Roman;serif"/>
          <w:b/>
          <w:color w:val="000000"/>
          <w:sz w:val="20"/>
        </w:rPr>
        <w:t>NOTES TO FINANCIAL STATEMENTS</w:t>
      </w:r>
      <w:r>
        <w:rPr>
          <w:color w:val="000000"/>
        </w:rPr>
        <w:t xml:space="preserve"> </w:t>
      </w:r>
      <w:r>
        <w:rPr>
          <w:rFonts w:ascii="Times New Roman;serif" w:hAnsi="Times New Roman;serif"/>
          <w:b w:val="false"/>
          <w:color w:val="000000"/>
          <w:sz w:val="20"/>
        </w:rPr>
        <w:t xml:space="preserve">(Continued) </w:t>
      </w:r>
    </w:p>
    <w:p>
      <w:pPr>
        <w:pStyle w:val="TextBody"/>
        <w:bidi w:val="0"/>
        <w:spacing w:before="0" w:after="0"/>
        <w:jc w:val="left"/>
        <w:rPr/>
      </w:pPr>
      <w:r>
        <w:rPr/>
      </w:r>
    </w:p>
    <w:p>
      <w:pPr>
        <w:pStyle w:val="TextBody"/>
        <w:bidi w:val="0"/>
        <w:spacing w:lineRule="auto" w:line="288" w:before="180" w:after="283"/>
        <w:jc w:val="both"/>
        <w:rPr/>
      </w:pPr>
      <w:r>
        <w:rPr>
          <w:rFonts w:ascii="Times New Roman;serif" w:hAnsi="Times New Roman;serif"/>
          <w:b/>
          <w:color w:val="000000"/>
          <w:sz w:val="20"/>
        </w:rPr>
        <w:t>Plan Termination</w:t>
      </w:r>
      <w:r>
        <w:rPr>
          <w:rFonts w:ascii="Times New Roman;serif" w:hAnsi="Times New Roman;serif"/>
          <w:b w:val="false"/>
          <w:color w:val="000000"/>
          <w:sz w:val="20"/>
        </w:rPr>
        <w:t>. Although it has not expressed any intent to do so, UGI Utilities has the right to terminate the Plan in whole or in part at any time for any reason. In the event of a complete or partial termination of the Plan, the affected participants will become fully vested in their account balances.</w:t>
      </w:r>
    </w:p>
    <w:p>
      <w:pPr>
        <w:pStyle w:val="TextBody"/>
        <w:bidi w:val="0"/>
        <w:spacing w:lineRule="auto" w:line="288" w:before="180" w:after="283"/>
        <w:jc w:val="both"/>
        <w:rPr/>
      </w:pPr>
      <w:r>
        <w:rPr>
          <w:rFonts w:ascii="Times New Roman;serif" w:hAnsi="Times New Roman;serif"/>
          <w:b/>
          <w:color w:val="000000"/>
          <w:sz w:val="20"/>
        </w:rPr>
        <w:t>Secure 2.0 Act.</w:t>
      </w:r>
      <w:r>
        <w:rPr>
          <w:color w:val="000000"/>
        </w:rPr>
        <w:t xml:space="preserve"> </w:t>
      </w:r>
      <w:r>
        <w:rPr>
          <w:rFonts w:ascii="Times New Roman;serif" w:hAnsi="Times New Roman;serif"/>
          <w:b w:val="false"/>
          <w:color w:val="000000"/>
          <w:sz w:val="20"/>
        </w:rPr>
        <w:t>The Secure 2.0 Act of 2022 was signed into law on December 29, 2022. This legislation includes a vast array of provisional changes to retirement plans, becoming effective January 1, 2023. Plan management evaluated the impact of the adoption and implementation of this legislation on the Plan. Effective January 1, 2025, the Plan adopted the enhanced "super catch-up" contribution provision, which allows participants who attain ages 60 through 63 during the Plan Year to make catch-up contributions up to $11,250 for the 2025 Plan Year. There was no other material impact to the Plan for the years ended December 31, 2025 and 2024.</w:t>
      </w:r>
      <w:r>
        <w:rPr>
          <w:color w:val="000000"/>
        </w:rPr>
        <w:t xml:space="preser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2. </w:t>
      </w:r>
      <w:r>
        <w:rPr>
          <w:rFonts w:ascii="Times New Roman;serif" w:hAnsi="Times New Roman;serif"/>
          <w:b/>
          <w:color w:val="000000"/>
          <w:sz w:val="20"/>
          <w:u w:val="single"/>
        </w:rPr>
        <w:t>Accounting Policies</w:t>
      </w:r>
    </w:p>
    <w:p>
      <w:pPr>
        <w:pStyle w:val="TextBody"/>
        <w:bidi w:val="0"/>
        <w:spacing w:lineRule="auto" w:line="288" w:before="100" w:after="283"/>
        <w:jc w:val="both"/>
        <w:rPr/>
      </w:pPr>
      <w:r>
        <w:rPr>
          <w:rFonts w:ascii="Times New Roman;serif" w:hAnsi="Times New Roman;serif"/>
          <w:b/>
          <w:color w:val="000000"/>
          <w:sz w:val="20"/>
        </w:rPr>
        <w:t>Use of Estimates and Basis of Accounting.</w:t>
      </w:r>
      <w:r>
        <w:rPr>
          <w:color w:val="000000"/>
        </w:rPr>
        <w:t xml:space="preserve"> </w:t>
      </w:r>
      <w:r>
        <w:rPr>
          <w:rFonts w:ascii="Times New Roman;serif" w:hAnsi="Times New Roman;serif"/>
          <w:b w:val="false"/>
          <w:color w:val="000000"/>
          <w:sz w:val="20"/>
        </w:rPr>
        <w:t>The accompanying financial statements are prepared in accordance with the accounting principles generally accepted in the United States of America (“GAAP”). GAAP requires the Plan Administrator to make estimates and assumptions that affect the reported amounts of net assets available for benefits and changes therein. Actual results could differ from those estimates.</w:t>
      </w:r>
    </w:p>
    <w:p>
      <w:pPr>
        <w:pStyle w:val="TextBody"/>
        <w:bidi w:val="0"/>
        <w:spacing w:lineRule="auto" w:line="288" w:before="180" w:after="283"/>
        <w:jc w:val="both"/>
        <w:rPr/>
      </w:pPr>
      <w:r>
        <w:rPr>
          <w:rFonts w:ascii="Times New Roman;serif" w:hAnsi="Times New Roman;serif"/>
          <w:b/>
          <w:color w:val="000000"/>
          <w:sz w:val="20"/>
        </w:rPr>
        <w:t>Investment Valuation and Income Recognition.</w:t>
      </w:r>
      <w:r>
        <w:rPr>
          <w:color w:val="000000"/>
        </w:rPr>
        <w:t xml:space="preserve"> </w:t>
      </w:r>
      <w:r>
        <w:rPr>
          <w:rFonts w:ascii="Times New Roman;serif" w:hAnsi="Times New Roman;serif"/>
          <w:b w:val="false"/>
          <w:color w:val="000000"/>
          <w:sz w:val="20"/>
        </w:rPr>
        <w:t>Investments are reported at fair value. Fair value is the price that would be received to sell an asset or paid to transfer a liability in an orderly transaction between market participants at the measurement date. The Plan Administrator determines the Plan's valuation policies utilizing information provided by the investment advisers and custodians. Refer to Note 3 for the fair value measurement disclosures associated with the Plan’s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Purchases and sales of securities are recorded on a trade-date basis. Interest earned on investments is recorded on the accrual basis. Dividend income is recorded on the ex-dividend date. Net appreciation includes the Plan's gains and losses on investments purchased and sold as well as held during the year.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Payment of Benefits.</w:t>
      </w:r>
      <w:r>
        <w:rPr>
          <w:color w:val="000000"/>
        </w:rPr>
        <w:t xml:space="preserve"> </w:t>
      </w:r>
      <w:r>
        <w:rPr>
          <w:rFonts w:ascii="Times New Roman;serif" w:hAnsi="Times New Roman;serif"/>
          <w:b w:val="false"/>
          <w:color w:val="000000"/>
          <w:sz w:val="20"/>
        </w:rPr>
        <w:t>Distributions are made to Plan participants based upon the fair value of each participant's investment account (except for distributions from UGI Common Stock, to the extent not all shares are sold on the same date) as of the dates of the distribution. Distributions to participants are recorded when paid.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0"/>
        </w:rPr>
        <w:t>Transfers of Participants’ Balance</w:t>
      </w:r>
      <w:r>
        <w:rPr>
          <w:rFonts w:ascii="Times New Roman;serif" w:hAnsi="Times New Roman;serif"/>
          <w:b w:val="false"/>
          <w:color w:val="000000"/>
          <w:sz w:val="20"/>
        </w:rPr>
        <w:t>s. Transfers of participant balances also represent amounts transferred to or from the AmeriGas Propane, Inc. Savings Plan, which is an affiliated plan. During the 2025 Plan Year, net transfers of participant balances from the AmeriGas Propane, Inc. Savings Plan was $991,283. During the 2024 Plan Year, net transfers of participant balances from the AmeriGas Propane, Inc. Savings Plan was $1,122,519.</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Employers' contributions receivable. </w:t>
      </w:r>
      <w:r>
        <w:rPr>
          <w:rFonts w:ascii="Times New Roman;serif" w:hAnsi="Times New Roman;serif"/>
          <w:b w:val="false"/>
          <w:color w:val="000000"/>
          <w:sz w:val="20"/>
        </w:rPr>
        <w:t xml:space="preserve">Employer match true-up contributions are recorded as a receivable for the period to which they are related. Participant accounts are credited with the true-up contribution in the following year. </w:t>
      </w:r>
    </w:p>
    <w:p>
      <w:pPr>
        <w:pStyle w:val="TextBody"/>
        <w:bidi w:val="0"/>
        <w:spacing w:lineRule="auto" w:line="288" w:before="180" w:after="283"/>
        <w:jc w:val="both"/>
        <w:rPr/>
      </w:pPr>
      <w:r>
        <w:rPr>
          <w:rFonts w:ascii="Times New Roman;serif" w:hAnsi="Times New Roman;serif"/>
          <w:b/>
          <w:color w:val="000000"/>
          <w:sz w:val="20"/>
        </w:rPr>
        <w:t>Notes Receivable from Participants.</w:t>
      </w:r>
      <w:r>
        <w:rPr>
          <w:color w:val="000000"/>
        </w:rPr>
        <w:t xml:space="preserve"> </w:t>
      </w:r>
      <w:r>
        <w:rPr>
          <w:rFonts w:ascii="Times New Roman;serif" w:hAnsi="Times New Roman;serif"/>
          <w:b w:val="false"/>
          <w:color w:val="000000"/>
          <w:sz w:val="20"/>
        </w:rPr>
        <w:t>Notes receivable from participants are measured at their unpaid principal balance plus any accrued but unpaid interest. Interest income on notes receivable is recorded on an accrual basis. Related fees are recorded as administrative expenses and are expensed when they are incurred.</w:t>
      </w:r>
    </w:p>
    <w:p>
      <w:pPr>
        <w:pStyle w:val="TextBody"/>
        <w:bidi w:val="0"/>
        <w:spacing w:lineRule="auto" w:line="288" w:before="180" w:after="283"/>
        <w:jc w:val="both"/>
        <w:rPr/>
      </w:pPr>
      <w:r>
        <w:rPr>
          <w:rFonts w:ascii="Times New Roman;serif" w:hAnsi="Times New Roman;serif"/>
          <w:b/>
          <w:color w:val="000000"/>
          <w:sz w:val="20"/>
        </w:rPr>
        <w:t>Risks and Uncertainties.</w:t>
      </w:r>
      <w:r>
        <w:rPr>
          <w:color w:val="000000"/>
        </w:rPr>
        <w:t xml:space="preserve"> </w:t>
      </w:r>
      <w:r>
        <w:rPr>
          <w:rFonts w:ascii="Times New Roman;serif" w:hAnsi="Times New Roman;serif"/>
          <w:b w:val="false"/>
          <w:color w:val="000000"/>
          <w:sz w:val="20"/>
        </w:rPr>
        <w:t>The Plan invests in various investment securities. Investment securities are exposed to various risks such as interest rate, market and credit risks. Market risks include global events which could impact the value of the investment security such as a pandemic or international conflict. Due to the level of risk associated with certain investment securities, it is at least reasonably possible that changes in risk in the near term could materially affect participants’ account balances and the amounts reported in the Statements of Net Assets Available for Benefits.</w:t>
      </w:r>
    </w:p>
    <w:p>
      <w:pPr>
        <w:pStyle w:val="TextBody"/>
        <w:bidi w:val="0"/>
        <w:spacing w:lineRule="auto" w:line="288" w:before="180" w:after="283"/>
        <w:jc w:val="both"/>
        <w:rPr/>
      </w:pPr>
      <w:r>
        <w:rPr>
          <w:rFonts w:ascii="Times New Roman;serif" w:hAnsi="Times New Roman;serif"/>
          <w:b/>
          <w:color w:val="000000"/>
          <w:sz w:val="20"/>
        </w:rPr>
        <w:t xml:space="preserve">Excess Contributions Payable. </w:t>
      </w:r>
      <w:r>
        <w:rPr>
          <w:rFonts w:ascii="Times New Roman;serif" w:hAnsi="Times New Roman;serif"/>
          <w:b w:val="false"/>
          <w:color w:val="000000"/>
          <w:sz w:val="20"/>
        </w:rPr>
        <w:t>Amounts payable to participants for contributions in excess of amounts allowed by the Internal Revenue Service (“IRS”) are recorded as a liability with a corresponding reduction to participants' contributions. Subsequent to December 31, 2025, the Plan distributed the 2025 excess contributions to the applicable participants.</w:t>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UTILITIES,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SAVINGS PLAN</w:t>
      </w:r>
    </w:p>
    <w:p>
      <w:pPr>
        <w:pStyle w:val="TextBody"/>
        <w:bidi w:val="0"/>
        <w:spacing w:lineRule="auto" w:line="288" w:before="100" w:after="283"/>
        <w:jc w:val="center"/>
        <w:rPr/>
      </w:pPr>
      <w:r>
        <w:rPr>
          <w:rFonts w:ascii="Times New Roman;serif" w:hAnsi="Times New Roman;serif"/>
          <w:b/>
          <w:color w:val="000000"/>
          <w:sz w:val="20"/>
        </w:rPr>
        <w:t>NOTES TO FINANCIAL STATEMENTS</w:t>
      </w:r>
      <w:r>
        <w:rPr>
          <w:color w:val="000000"/>
        </w:rPr>
        <w:t xml:space="preserve"> </w:t>
      </w:r>
      <w:r>
        <w:rPr>
          <w:rFonts w:ascii="Times New Roman;serif" w:hAnsi="Times New Roman;serif"/>
          <w:b w:val="false"/>
          <w:color w:val="000000"/>
          <w:sz w:val="20"/>
        </w:rPr>
        <w:t xml:space="preserve">(Continued)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3. </w:t>
      </w:r>
      <w:r>
        <w:rPr>
          <w:rFonts w:ascii="Times New Roman;serif" w:hAnsi="Times New Roman;serif"/>
          <w:b/>
          <w:color w:val="000000"/>
          <w:sz w:val="20"/>
          <w:u w:val="single"/>
        </w:rPr>
        <w:t>Fair Value Measurements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Plan applies fair value measurements in accordance with GAAP. Fair value is defined as the price that would be received to sell an asset or paid to transfer a liability (an exit price) in an orderly transaction between market participants at the measurement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GAAP establishes a fair value hierarchy that prioritizes the inputs to valuation techniques used to measure fair value into three levels. The hierarchy gives the highest priority to quoted prices in active markets for identical assets or liabilities (Level 1 measurements) and the lowest priority to unobservable inputs (Level 3 measurements). A level within the fair value hierarchy is based on the lowest level of any input that is significant to the fair value measurement. The Plan uses the following fair value hierarchy, which prioritizes the inputs to valuation techniques used to measure fair value into three broad categories: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1 – Inputs to the valuation methodology are unadjusted quoted prices for identical assets or liabilities in active markets that the Plan has the ability to access.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Level 2 – Inputs to the valuation methodology include quoted prices for similar assets or liabilities in active markets; quoted prices for identical or similar assets or liabilities in inactive markets; inputs other than quoted prices that are observable for the asset or liability; and inputs that are derived principally from or corroborated by observable market data by correlation or other means. If the asset or liability has a specified (contractual) term, the Level 2 input must be observable for substantially the full term of the asset or liability.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3 – Inputs to the valuation methodology are unobservable and significant to the fair value measurement.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asset or liability's fair value measurement level within the fair value hierarchy is based on the lowest level of any input that is significant to the fair value measurement. Valuation techniques maximize the use of relevant observable inputs and minimize the use of unobservable inputs.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are descriptions of the valuation methodologies used for assets measured at fair value. There have been no changes in the methodologies used at December 31, 2025 and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Mutual funds: </w:t>
      </w:r>
      <w:r>
        <w:rPr>
          <w:rFonts w:ascii="Times New Roman;serif" w:hAnsi="Times New Roman;serif"/>
          <w:b w:val="false"/>
          <w:color w:val="000000"/>
          <w:sz w:val="20"/>
        </w:rPr>
        <w:t>Valued at the daily closing price as reported by the fund. Mutual funds held by the Plan are open-end mutual funds that are registered with the U.S. Securities and Exchange Commission. These funds are required to publish their daily net asset value (“NAV”) and to transact at that price. The mutual funds held by the Plan are deemed to be actively traded.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UGI Common Stock: </w:t>
      </w:r>
      <w:r>
        <w:rPr>
          <w:rFonts w:ascii="Times New Roman;serif" w:hAnsi="Times New Roman;serif"/>
          <w:b w:val="false"/>
          <w:color w:val="000000"/>
          <w:sz w:val="20"/>
        </w:rPr>
        <w:t xml:space="preserve">Valued at the closing price reported on the active market on which the individual security is traded.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Brokerage Link: </w:t>
      </w:r>
      <w:r>
        <w:rPr>
          <w:rFonts w:ascii="Times New Roman;serif" w:hAnsi="Times New Roman;serif"/>
          <w:b w:val="false"/>
          <w:color w:val="000000"/>
          <w:sz w:val="20"/>
        </w:rPr>
        <w:t>Fidelity Brokerage Link accounts are reflected at their fair value of associated investments which include mutual funds, money market funds and cash and held by the Plan participants in their individual self-directed brokerage accounts. Based upon closing prices as reported by the funds, these funds are required to publish this NAV and to transact at that price.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Collective investment trust fund and Common collective trust funds: </w:t>
      </w:r>
      <w:r>
        <w:rPr>
          <w:rFonts w:ascii="Times New Roman;serif" w:hAnsi="Times New Roman;serif"/>
          <w:b w:val="false"/>
          <w:color w:val="000000"/>
          <w:sz w:val="20"/>
        </w:rPr>
        <w:t>Valued at the NAV of units of the collective trusts. The NAVs, as provided by the trustee, are used as a practical expedient to estimate fair value. The NAVs are based on the fair values of the underlying investments held by the funds less their liabilities. Participant transactions (purchases and sales) may occur daily. Were the Plan to initiate a full redemption of the collective trusts, the investment advisor reserves the right to temporarily delay withdrawal from the trusts in order to ensure that securities liquidations will be carried out in an orderly business manner.</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UTILITIES,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SAVINGS PLAN</w:t>
      </w:r>
    </w:p>
    <w:p>
      <w:pPr>
        <w:pStyle w:val="TextBody"/>
        <w:bidi w:val="0"/>
        <w:spacing w:lineRule="auto" w:line="288" w:before="100" w:after="283"/>
        <w:jc w:val="center"/>
        <w:rPr/>
      </w:pPr>
      <w:r>
        <w:rPr>
          <w:rFonts w:ascii="Times New Roman;serif" w:hAnsi="Times New Roman;serif"/>
          <w:b/>
          <w:color w:val="000000"/>
          <w:sz w:val="20"/>
        </w:rPr>
        <w:t>NOTES TO FINANCIAL STATEMENTS</w:t>
      </w:r>
      <w:r>
        <w:rPr>
          <w:color w:val="000000"/>
        </w:rPr>
        <w:t xml:space="preserve"> </w:t>
      </w:r>
      <w:r>
        <w:rPr>
          <w:rFonts w:ascii="Times New Roman;serif" w:hAnsi="Times New Roman;serif"/>
          <w:b w:val="false"/>
          <w:color w:val="000000"/>
          <w:sz w:val="20"/>
        </w:rPr>
        <w:t xml:space="preserve">(Continued)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following table presents the Plan’s investments that are measured at fair value on a recurring basis, for each hierarchy level, as of December 31, 2025 and 2024:</w:t>
      </w:r>
      <w:r>
        <w:rPr>
          <w:color w:val="000000"/>
        </w:rPr>
        <w:t> </w:t>
      </w:r>
    </w:p>
    <w:tbl>
      <w:tblPr>
        <w:tblW w:w="10205" w:type="dxa"/>
        <w:jc w:val="left"/>
        <w:tblInd w:w="0" w:type="dxa"/>
        <w:tblLayout w:type="fixed"/>
        <w:tblCellMar>
          <w:top w:w="28" w:type="dxa"/>
          <w:left w:w="28" w:type="dxa"/>
          <w:bottom w:w="28" w:type="dxa"/>
          <w:right w:w="28" w:type="dxa"/>
        </w:tblCellMar>
      </w:tblPr>
      <w:tblGrid>
        <w:gridCol w:w="978"/>
        <w:gridCol w:w="779"/>
        <w:gridCol w:w="786"/>
        <w:gridCol w:w="109"/>
        <w:gridCol w:w="109"/>
        <w:gridCol w:w="109"/>
        <w:gridCol w:w="211"/>
        <w:gridCol w:w="1190"/>
        <w:gridCol w:w="109"/>
        <w:gridCol w:w="109"/>
        <w:gridCol w:w="109"/>
        <w:gridCol w:w="109"/>
        <w:gridCol w:w="211"/>
        <w:gridCol w:w="407"/>
        <w:gridCol w:w="109"/>
        <w:gridCol w:w="109"/>
        <w:gridCol w:w="109"/>
        <w:gridCol w:w="109"/>
        <w:gridCol w:w="211"/>
        <w:gridCol w:w="407"/>
        <w:gridCol w:w="109"/>
        <w:gridCol w:w="109"/>
        <w:gridCol w:w="109"/>
        <w:gridCol w:w="109"/>
        <w:gridCol w:w="211"/>
        <w:gridCol w:w="1186"/>
        <w:gridCol w:w="109"/>
        <w:gridCol w:w="109"/>
        <w:gridCol w:w="109"/>
        <w:gridCol w:w="109"/>
        <w:gridCol w:w="211"/>
        <w:gridCol w:w="1186"/>
        <w:gridCol w:w="160"/>
      </w:tblGrid>
      <w:tr>
        <w:trPr/>
        <w:tc>
          <w:tcPr>
            <w:tcW w:w="97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 Using Input Types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203,564,107 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203,564,107 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UGI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27,365,501 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27,365,501 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Link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17,952,198 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17,952,198 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collective trust funds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306,123,590 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306,123,590 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investment trust fund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148,622,927 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148,622,927 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248,881,806 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454,746,517 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703,628,323 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978"/>
        <w:gridCol w:w="779"/>
        <w:gridCol w:w="786"/>
        <w:gridCol w:w="109"/>
        <w:gridCol w:w="109"/>
        <w:gridCol w:w="109"/>
        <w:gridCol w:w="211"/>
        <w:gridCol w:w="1190"/>
        <w:gridCol w:w="109"/>
        <w:gridCol w:w="109"/>
        <w:gridCol w:w="109"/>
        <w:gridCol w:w="109"/>
        <w:gridCol w:w="211"/>
        <w:gridCol w:w="407"/>
        <w:gridCol w:w="109"/>
        <w:gridCol w:w="109"/>
        <w:gridCol w:w="109"/>
        <w:gridCol w:w="109"/>
        <w:gridCol w:w="211"/>
        <w:gridCol w:w="407"/>
        <w:gridCol w:w="109"/>
        <w:gridCol w:w="109"/>
        <w:gridCol w:w="109"/>
        <w:gridCol w:w="109"/>
        <w:gridCol w:w="211"/>
        <w:gridCol w:w="1186"/>
        <w:gridCol w:w="109"/>
        <w:gridCol w:w="109"/>
        <w:gridCol w:w="109"/>
        <w:gridCol w:w="109"/>
        <w:gridCol w:w="211"/>
        <w:gridCol w:w="1186"/>
        <w:gridCol w:w="160"/>
      </w:tblGrid>
      <w:tr>
        <w:trPr/>
        <w:tc>
          <w:tcPr>
            <w:tcW w:w="97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 Using Input Types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179,350,057 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179,350,057 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UGI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22,487,831 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22,487,831 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Link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15,063,619 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15,063,619 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collective trust funds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262,131,982 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262,131,982 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investment trust fund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128,962,954 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128,962,954 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investments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216,901,507 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391,094,936 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607,996,443 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Assets measured at NAV per share (or its equivalent), and are therefore excluded from the fair value hierarchy, and also presented as “Other”.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Investments Measured Using the NAV per share Practical Expedient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investments for which fair value is measured using the NAV per share practical expedient as of December 31, 2025 and 2024, respectively:</w:t>
      </w:r>
    </w:p>
    <w:tbl>
      <w:tblPr>
        <w:tblW w:w="10205" w:type="dxa"/>
        <w:jc w:val="center"/>
        <w:tblInd w:w="0" w:type="dxa"/>
        <w:tblLayout w:type="fixed"/>
        <w:tblCellMar>
          <w:top w:w="28" w:type="dxa"/>
          <w:left w:w="28" w:type="dxa"/>
          <w:bottom w:w="28" w:type="dxa"/>
          <w:right w:w="28" w:type="dxa"/>
        </w:tblCellMar>
      </w:tblPr>
      <w:tblGrid>
        <w:gridCol w:w="797"/>
        <w:gridCol w:w="673"/>
        <w:gridCol w:w="677"/>
        <w:gridCol w:w="211"/>
        <w:gridCol w:w="1186"/>
        <w:gridCol w:w="109"/>
        <w:gridCol w:w="600"/>
        <w:gridCol w:w="600"/>
        <w:gridCol w:w="602"/>
        <w:gridCol w:w="944"/>
        <w:gridCol w:w="944"/>
        <w:gridCol w:w="947"/>
        <w:gridCol w:w="558"/>
        <w:gridCol w:w="558"/>
        <w:gridCol w:w="799"/>
      </w:tblGrid>
      <w:tr>
        <w:trPr/>
        <w:tc>
          <w:tcPr>
            <w:tcW w:w="79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Unfunded Commitments</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Redemption Frequency (if currently eligible)</w:t>
            </w:r>
          </w:p>
        </w:tc>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Redemption Notice Period</w:t>
            </w:r>
          </w:p>
        </w:tc>
      </w:tr>
      <w:tr>
        <w:trPr/>
        <w:tc>
          <w:tcPr>
            <w:tcW w:w="21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collective trust funds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306,123,590 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2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Daily</w:t>
            </w:r>
          </w:p>
        </w:tc>
        <w:tc>
          <w:tcPr>
            <w:tcW w:w="1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 days</w:t>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investment trust fund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148,622,927 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Daily</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 days</w:t>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97"/>
        <w:gridCol w:w="673"/>
        <w:gridCol w:w="677"/>
        <w:gridCol w:w="211"/>
        <w:gridCol w:w="1186"/>
        <w:gridCol w:w="109"/>
        <w:gridCol w:w="600"/>
        <w:gridCol w:w="600"/>
        <w:gridCol w:w="602"/>
        <w:gridCol w:w="944"/>
        <w:gridCol w:w="944"/>
        <w:gridCol w:w="947"/>
        <w:gridCol w:w="558"/>
        <w:gridCol w:w="558"/>
        <w:gridCol w:w="799"/>
      </w:tblGrid>
      <w:tr>
        <w:trPr/>
        <w:tc>
          <w:tcPr>
            <w:tcW w:w="79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Unfunded Commitments</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Redemption Frequency (if currently eligible)</w:t>
            </w:r>
          </w:p>
        </w:tc>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Redemption Notice Period</w:t>
            </w:r>
          </w:p>
        </w:tc>
      </w:tr>
      <w:tr>
        <w:trPr/>
        <w:tc>
          <w:tcPr>
            <w:tcW w:w="21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collective trust funds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262,131,982 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2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Daily</w:t>
            </w:r>
          </w:p>
        </w:tc>
        <w:tc>
          <w:tcPr>
            <w:tcW w:w="1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 days</w:t>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investment trust fund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128,962,954 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Daily</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 days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4. </w:t>
      </w:r>
      <w:r>
        <w:rPr>
          <w:rFonts w:ascii="Times New Roman;serif" w:hAnsi="Times New Roman;serif"/>
          <w:b/>
          <w:color w:val="000000"/>
          <w:sz w:val="20"/>
          <w:u w:val="single"/>
        </w:rPr>
        <w:t>Related Party and Party-in-Interest Transactions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Parties-in-interest are defined under U.S. Department of Labor regulations as any fiduciary of the Plan, any party rendering service to the Plan, the Employers, and certain others.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UTILITIES,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SAVINGS PLAN</w:t>
      </w:r>
    </w:p>
    <w:p>
      <w:pPr>
        <w:pStyle w:val="TextBody"/>
        <w:bidi w:val="0"/>
        <w:spacing w:lineRule="auto" w:line="288" w:before="100" w:after="283"/>
        <w:jc w:val="center"/>
        <w:rPr/>
      </w:pPr>
      <w:r>
        <w:rPr>
          <w:rFonts w:ascii="Times New Roman;serif" w:hAnsi="Times New Roman;serif"/>
          <w:b/>
          <w:color w:val="000000"/>
          <w:sz w:val="20"/>
        </w:rPr>
        <w:t>NOTES TO FINANCIAL STATEMENTS</w:t>
      </w:r>
      <w:r>
        <w:rPr>
          <w:color w:val="000000"/>
        </w:rPr>
        <w:t xml:space="preserve"> </w:t>
      </w:r>
      <w:r>
        <w:rPr>
          <w:rFonts w:ascii="Times New Roman;serif" w:hAnsi="Times New Roman;serif"/>
          <w:b w:val="false"/>
          <w:color w:val="000000"/>
          <w:sz w:val="20"/>
        </w:rPr>
        <w:t xml:space="preserve">(Continued)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Shares of UGI Common Stock are offered as an investment option to Plan participants, and are considered related party transactions. Additionally, the Plan issues notes to participants, which are secured by the participant’s account balances. These transactions qualify as party-in-interest transactions, but are exempt from the prohibited transaction rules of ERISA and the IRC under statutory or governmental agency exemptions. </w:t>
      </w:r>
    </w:p>
    <w:tbl>
      <w:tblPr>
        <w:tblW w:w="8271" w:type="dxa"/>
        <w:jc w:val="center"/>
        <w:tblInd w:w="0" w:type="dxa"/>
        <w:tblLayout w:type="fixed"/>
        <w:tblCellMar>
          <w:top w:w="28" w:type="dxa"/>
          <w:left w:w="28" w:type="dxa"/>
          <w:bottom w:w="28" w:type="dxa"/>
          <w:right w:w="28" w:type="dxa"/>
        </w:tblCellMar>
      </w:tblPr>
      <w:tblGrid>
        <w:gridCol w:w="1725"/>
        <w:gridCol w:w="1517"/>
        <w:gridCol w:w="1528"/>
        <w:gridCol w:w="109"/>
        <w:gridCol w:w="109"/>
        <w:gridCol w:w="109"/>
        <w:gridCol w:w="211"/>
        <w:gridCol w:w="1081"/>
        <w:gridCol w:w="109"/>
        <w:gridCol w:w="109"/>
        <w:gridCol w:w="109"/>
        <w:gridCol w:w="109"/>
        <w:gridCol w:w="211"/>
        <w:gridCol w:w="1081"/>
        <w:gridCol w:w="154"/>
      </w:tblGrid>
      <w:tr>
        <w:trPr/>
        <w:tc>
          <w:tcPr>
            <w:tcW w:w="1725"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Plan Year</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UGI Common Stock held by the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27,365,501 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22,487,831 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Original cost of UGI Common Stock held by the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22,036,629 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23,394,271 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held of UGI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 at market value related to UGI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contributions into UGI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the Plan had dividend income on shares of UGI Common Stock of $1,159,388, and $1,161,372, respectively . The Plan holds investments in Vanguard Target Retirement Trusts and mutual funds sponsored and maintained by Vanguard Fiduciary Trust Company. The Vanguard Group Inc. is an owner of UGI Common Stock and the parent company of Vanguard Fiduciary Trust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Plan allows participants to invest their account balances in shares of certain mutual funds or other investments managed by the Trustee or Fidelity Investments. Fidelity Investments is an affiliate of the Trustee; therefore, these transactions qualify as party-in-interest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Fees incurred by the Plan for investment manager services are included in net appreciation in the fair value of the investments. Fees paid by the Plan for investment management, recordkeeping, and consulting services also are intended to qualify as exempt parties-in-interest transactions and are included in administrative fees in the Statement of Changes in Net Assets Available for Benefits.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Certain administrative functions are performed by officers or employees of the Company. No such officer or employee receives compensation from the Plan.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5. </w:t>
      </w:r>
      <w:r>
        <w:rPr>
          <w:rFonts w:ascii="Times New Roman;serif" w:hAnsi="Times New Roman;serif"/>
          <w:b/>
          <w:color w:val="000000"/>
          <w:sz w:val="20"/>
          <w:u w:val="single"/>
        </w:rPr>
        <w:t>Federal Income Tax Status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October 2024, the IRS issued a favorable determination letter concerning the qualified status of the Plan in effect as of December 31, 2022 under Section 401(a) of the IRC. No U.S. income taxes are required to be paid by the trust created under the Plan (the “Trust”) and participants are not taxed on Employers' contributions to the Trust or income earned by the Trust. When a participant, or his or her beneficiary or estate, receives a distribution under the Plan, the taxability of the value of such distribution depends on the form and time of payment.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GAAP requires Plan management to evaluate tax positions taken by the Plan and recognize a tax liability (or asset) if the Plan has taken an uncertain position that more likely than not would not be sustained upon examination by the IRS. The Plan Administrator has analyzed the tax positions taken by the Plan and has concluded that as of December 31, 2025 and 2024 there are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 The Plan Administrator believes it is no longer subject to income tax examinations for years prior to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UTILITIES,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SAVINGS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PLAN YEAR END DECEMBER 31,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EIN 23-1174060, Plan #008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H, Line 4(i)—SCHEDULE OF ASSETS (HELD AT END OF YEAR)</w:t>
      </w:r>
    </w:p>
    <w:p>
      <w:pPr>
        <w:pStyle w:val="TextBody"/>
        <w:bidi w:val="0"/>
        <w:spacing w:lineRule="auto" w:line="288" w:before="0" w:after="0"/>
        <w:jc w:val="left"/>
        <w:rPr>
          <w:color w:val="000000"/>
        </w:rPr>
      </w:pPr>
      <w:r>
        <w:rPr>
          <w:color w:val="000000"/>
        </w:rPr>
        <w:t> </w:t>
      </w:r>
    </w:p>
    <w:tbl>
      <w:tblPr>
        <w:tblW w:w="9620" w:type="dxa"/>
        <w:jc w:val="left"/>
        <w:tblInd w:w="0" w:type="dxa"/>
        <w:tblLayout w:type="fixed"/>
        <w:tblCellMar>
          <w:top w:w="28" w:type="dxa"/>
          <w:left w:w="28" w:type="dxa"/>
          <w:bottom w:w="28" w:type="dxa"/>
          <w:right w:w="28" w:type="dxa"/>
        </w:tblCellMar>
      </w:tblPr>
      <w:tblGrid>
        <w:gridCol w:w="125"/>
        <w:gridCol w:w="110"/>
        <w:gridCol w:w="110"/>
        <w:gridCol w:w="109"/>
        <w:gridCol w:w="109"/>
        <w:gridCol w:w="109"/>
        <w:gridCol w:w="1904"/>
        <w:gridCol w:w="1904"/>
        <w:gridCol w:w="1907"/>
        <w:gridCol w:w="109"/>
        <w:gridCol w:w="109"/>
        <w:gridCol w:w="109"/>
        <w:gridCol w:w="319"/>
        <w:gridCol w:w="319"/>
        <w:gridCol w:w="322"/>
        <w:gridCol w:w="109"/>
        <w:gridCol w:w="109"/>
        <w:gridCol w:w="109"/>
        <w:gridCol w:w="220"/>
        <w:gridCol w:w="1239"/>
        <w:gridCol w:w="160"/>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 (c) Identity of Issuer/Description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 Current Value</w:t>
            </w:r>
          </w:p>
        </w:tc>
      </w:tr>
      <w:tr>
        <w:trPr/>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Fidelity U.S. Bond Index Fund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7,762,839 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Fidelity International Index Fund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19,251,737 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 Rowe Price Equity Income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23,708,162 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PIMCO Total Return Fund Institutional Class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13,431,047 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Funds EuroPacific Growth Fund Class R-6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6,883,347 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Federal Money Market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20,307,033 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Champlain Small Company Fund Institutional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5,920,681 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Index Plus Fund Institutional Class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81,131,255 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Vanguard Institutional Index Fund Institutional Class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Extended Market Index Fund Institutional Class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25,159,940 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203,564,107 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Assets in Fidelity Brokerage Link Accounts</w:t>
            </w: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17,952,198 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Collective Trust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Retirement Savings Trust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18,124,591 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Income Trust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6,198,287 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2020 Trust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10,631,882 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2025 Trust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27,952,256 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Vanguard Target Retirement 2030 Trust I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37,256,921 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Vanguard Target Retirement 2035 Trust 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48,034,805 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Vanguard Target Retirement 2040 Trust I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34,317,107 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Vanguard Target Retirement 2045 Trust 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40,233,609 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2050 Trust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38,449,604 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2055 Trust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24,740,192 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2060 Trust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16,411,913 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2065 Trust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3,349,937 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2070 Trust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422,486 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Common Collective Trust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306,123,590 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Collective Investment Trust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 Growth Company Commingled Pool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148,622,927 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UGI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26,960,850 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Dividends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Participant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 principal outstanding (4.25% – 9.50%), maturing through 2037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8,549,239 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 all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712,177,562 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color w:val="000000"/>
          <w:sz w:val="20"/>
        </w:rPr>
        <w:t>*</w:t>
      </w:r>
      <w:r>
        <w:rPr>
          <w:rFonts w:ascii="Times New Roman;serif" w:hAnsi="Times New Roman;serif"/>
          <w:b w:val="false"/>
          <w:color w:val="000000"/>
          <w:sz w:val="20"/>
        </w:rPr>
        <w:t>Party in interest</w:t>
      </w:r>
    </w:p>
    <w:p>
      <w:pPr>
        <w:pStyle w:val="TextBody"/>
        <w:bidi w:val="0"/>
        <w:spacing w:lineRule="auto" w:line="288" w:before="0" w:after="0"/>
        <w:jc w:val="left"/>
        <w:rPr/>
      </w:pPr>
      <w:r>
        <w:rPr>
          <w:rFonts w:ascii="Times New Roman;serif" w:hAnsi="Times New Roman;serif"/>
          <w:b/>
          <w:color w:val="000000"/>
          <w:sz w:val="20"/>
        </w:rPr>
        <w:t>**</w:t>
      </w:r>
      <w:r>
        <w:rPr>
          <w:rFonts w:ascii="Times New Roman;serif" w:hAnsi="Times New Roman;serif"/>
          <w:b w:val="false"/>
          <w:color w:val="000000"/>
          <w:sz w:val="20"/>
        </w:rPr>
        <w:t>Historical cost is disclosed only for nonparticipant-directed investments</w:t>
      </w:r>
    </w:p>
    <w:p>
      <w:pPr>
        <w:pStyle w:val="TextBody"/>
        <w:bidi w:val="0"/>
        <w:spacing w:lineRule="auto" w:line="288" w:before="0" w:after="0"/>
        <w:jc w:val="left"/>
        <w:rPr/>
      </w:pPr>
      <w:r>
        <w:rPr>
          <w:rFonts w:ascii="Times New Roman;serif" w:hAnsi="Times New Roman;serif"/>
          <w:b/>
          <w:color w:val="000000"/>
          <w:sz w:val="20"/>
        </w:rPr>
        <w:t>***</w:t>
      </w:r>
      <w:r>
        <w:rPr>
          <w:rFonts w:ascii="Times New Roman;serif" w:hAnsi="Times New Roman;serif"/>
          <w:b w:val="false"/>
          <w:color w:val="000000"/>
          <w:sz w:val="20"/>
        </w:rPr>
        <w:t>Various investments including mutual funds, money market funds and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- 10 -</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trustees (or other persons who administer the employee benefit plan) have duly caused this annual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11"/>
        <w:gridCol w:w="538"/>
        <w:gridCol w:w="541"/>
        <w:gridCol w:w="109"/>
        <w:gridCol w:w="109"/>
        <w:gridCol w:w="109"/>
        <w:gridCol w:w="109"/>
        <w:gridCol w:w="109"/>
        <w:gridCol w:w="109"/>
        <w:gridCol w:w="109"/>
        <w:gridCol w:w="109"/>
        <w:gridCol w:w="109"/>
        <w:gridCol w:w="283"/>
        <w:gridCol w:w="278"/>
        <w:gridCol w:w="275"/>
        <w:gridCol w:w="275"/>
        <w:gridCol w:w="275"/>
        <w:gridCol w:w="275"/>
        <w:gridCol w:w="1728"/>
        <w:gridCol w:w="1716"/>
        <w:gridCol w:w="2429"/>
      </w:tblGrid>
      <w:tr>
        <w:trPr/>
        <w:tc>
          <w:tcPr>
            <w:tcW w:w="6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UGI Utilities, Inc. Savings Plan</w:t>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June 24,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Jean Felix Tematio Dontsop</w:t>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Jean Felix Tematio Dontsop</w:t>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 (Principal Financial Officer)</w:t>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- 11 -</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lineRule="auto" w:line="288" w:before="0" w:after="0"/>
        <w:jc w:val="left"/>
        <w:rPr>
          <w:color w:val="000000"/>
        </w:rPr>
      </w:pPr>
      <w:r>
        <w:rPr>
          <w:color w:val="000000"/>
        </w:rPr>
        <w:t> </w:t>
      </w:r>
    </w:p>
    <w:tbl>
      <w:tblPr>
        <w:tblW w:w="3312"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595"/>
        <w:gridCol w:w="595"/>
        <w:gridCol w:w="849"/>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util12x31x25xwi.htm">
              <w:r>
                <w:rPr>
                  <w:rStyle w:val="InternetLink"/>
                  <w:rFonts w:ascii="Times New Roman;serif" w:hAnsi="Times New Roman;serif"/>
                  <w:b w:val="false"/>
                  <w:color w:val="0000FF"/>
                  <w:sz w:val="20"/>
                  <w:u w:val="single"/>
                </w:rPr>
                <w:t>Consent of Wipfli, LLP</w:t>
              </w:r>
            </w:hyperlink>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- 12 -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this Registration Statement Number 333-167099, as amended by Post-Effective Amendment No. 1, filed June 30, 2010, on Form S-8 of UGI Corporation of our report dated June 24, 2026, appearing in the Annual Report on Form 11-K of the UGI Utilities, Inc. Savings Plan for the year ended December 31, 2025.</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Wipfli LLP</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Minneapolis, Minnesota </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June 24, 2026</w:t>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5299</Words>
  <Characters>29351</Characters>
  <CharactersWithSpaces>34421</CharactersWithSpaces>
  <Paragraphs>563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