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00" w:after="6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1-11071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UGI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0" w:type="dxa"/>
        <w:jc w:val="center"/>
        <w:tblInd w:w="0" w:type="dxa"/>
        <w:tblLayout w:type="fixed"/>
        <w:tblCellMar>
          <w:top w:w="28" w:type="dxa"/>
          <w:left w:w="28" w:type="dxa"/>
          <w:bottom w:w="28" w:type="dxa"/>
          <w:right w:w="28" w:type="dxa"/>
        </w:tblCellMar>
      </w:tblPr>
      <w:tblGrid>
        <w:gridCol w:w="859"/>
        <w:gridCol w:w="753"/>
        <w:gridCol w:w="757"/>
        <w:gridCol w:w="109"/>
        <w:gridCol w:w="109"/>
        <w:gridCol w:w="109"/>
        <w:gridCol w:w="433"/>
        <w:gridCol w:w="433"/>
        <w:gridCol w:w="61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23-2668356</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500 North Gulph Road, King of Prussia, PA 19406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(610) 337-1000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363" w:type="dxa"/>
        <w:jc w:val="center"/>
        <w:tblInd w:w="0" w:type="dxa"/>
        <w:tblLayout w:type="fixed"/>
        <w:tblCellMar>
          <w:top w:w="28" w:type="dxa"/>
          <w:left w:w="28" w:type="dxa"/>
          <w:bottom w:w="28" w:type="dxa"/>
          <w:right w:w="28" w:type="dxa"/>
        </w:tblCellMar>
      </w:tblPr>
      <w:tblGrid>
        <w:gridCol w:w="920"/>
        <w:gridCol w:w="809"/>
        <w:gridCol w:w="821"/>
        <w:gridCol w:w="499"/>
        <w:gridCol w:w="499"/>
        <w:gridCol w:w="501"/>
        <w:gridCol w:w="969"/>
        <w:gridCol w:w="969"/>
        <w:gridCol w:w="1376"/>
      </w:tblGrid>
      <w:tr>
        <w:trPr/>
        <w:tc>
          <w:tcPr>
            <w:tcW w:w="9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31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Common Stock, without par value</w:t>
            </w:r>
          </w:p>
        </w:tc>
        <w:tc>
          <w:tcPr>
            <w:tcW w:w="149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UGI</w:t>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44"/>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2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11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09"/>
        <w:gridCol w:w="109"/>
        <w:gridCol w:w="109"/>
        <w:gridCol w:w="109"/>
        <w:gridCol w:w="599"/>
        <w:gridCol w:w="599"/>
        <w:gridCol w:w="601"/>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At July 31, 2026, there were 214,494,967 shares of UGI Corporation Common Stock, without par value,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UGI CORPORATION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21"/>
        <w:gridCol w:w="3089"/>
        <w:gridCol w:w="3098"/>
        <w:gridCol w:w="145"/>
        <w:gridCol w:w="145"/>
        <w:gridCol w:w="207"/>
      </w:tblGrid>
      <w:tr>
        <w:trPr/>
        <w:tc>
          <w:tcPr>
            <w:tcW w:w="3521"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0">
              <w:r>
                <w:rPr>
                  <w:rStyle w:val="InternetLink"/>
                  <w:rFonts w:ascii="Times New Roman;serif" w:hAnsi="Times New Roman;serif"/>
                  <w:b w:val="false"/>
                  <w:color w:val="0000FF"/>
                  <w:sz w:val="20"/>
                  <w:u w:val="single"/>
                </w:rPr>
                <w:t>Glossary of Terms and Abbreviations</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0">
              <w:r>
                <w:rPr>
                  <w:rStyle w:val="InternetLink"/>
                  <w:rFonts w:ascii="Times New Roman;serif" w:hAnsi="Times New Roman;serif"/>
                  <w:b w:val="false"/>
                  <w:color w:val="0000FF"/>
                  <w:sz w:val="20"/>
                  <w:u w:val="single"/>
                </w:rPr>
                <w:t>1</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3">
              <w:r>
                <w:rPr>
                  <w:rStyle w:val="InternetLink"/>
                  <w:rFonts w:ascii="Times New Roman;serif" w:hAnsi="Times New Roman;serif"/>
                  <w:b/>
                  <w:color w:val="0000FF"/>
                  <w:sz w:val="20"/>
                  <w:u w:val="single"/>
                </w:rPr>
                <w:t>Part I Financial Information</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3">
              <w:r>
                <w:rPr>
                  <w:rStyle w:val="InternetLink"/>
                  <w:rFonts w:ascii="Times New Roman;serif" w:hAnsi="Times New Roman;serif"/>
                  <w:b w:val="false"/>
                  <w:color w:val="0000FF"/>
                  <w:sz w:val="20"/>
                  <w:u w:val="single"/>
                </w:rPr>
                <w:t>Item 1. Financial Statements (unaudited)</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6">
              <w:r>
                <w:rPr>
                  <w:rStyle w:val="InternetLink"/>
                  <w:rFonts w:ascii="Times New Roman;serif" w:hAnsi="Times New Roman;serif"/>
                  <w:b w:val="false"/>
                  <w:color w:val="0000FF"/>
                  <w:sz w:val="20"/>
                  <w:u w:val="single"/>
                </w:rPr>
                <w:t>Condensed Consolidated Balance Sheets as of June 30, 2026, September 30, 2025 and June 30, 2025</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6">
              <w:r>
                <w:rPr>
                  <w:rStyle w:val="InternetLink"/>
                  <w:rFonts w:ascii="Times New Roman;serif" w:hAnsi="Times New Roman;serif"/>
                  <w:b w:val="false"/>
                  <w:color w:val="0000FF"/>
                  <w:sz w:val="20"/>
                  <w:u w:val="single"/>
                </w:rPr>
                <w:t>4</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9">
              <w:r>
                <w:rPr>
                  <w:rStyle w:val="InternetLink"/>
                  <w:rFonts w:ascii="Times New Roman;serif" w:hAnsi="Times New Roman;serif"/>
                  <w:b w:val="false"/>
                  <w:color w:val="0000FF"/>
                  <w:sz w:val="20"/>
                  <w:u w:val="single"/>
                </w:rPr>
                <w:t>Condensed Consolidated Statements of Income for the three and nine months ended June 30, 2026 and 2025</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9">
              <w:r>
                <w:rPr>
                  <w:rStyle w:val="InternetLink"/>
                  <w:rFonts w:ascii="Times New Roman;serif" w:hAnsi="Times New Roman;serif"/>
                  <w:b w:val="false"/>
                  <w:color w:val="0000FF"/>
                  <w:sz w:val="20"/>
                  <w:u w:val="single"/>
                </w:rPr>
                <w:t>5</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22">
              <w:r>
                <w:rPr>
                  <w:rStyle w:val="InternetLink"/>
                  <w:rFonts w:ascii="Times New Roman;serif" w:hAnsi="Times New Roman;serif"/>
                  <w:b w:val="false"/>
                  <w:color w:val="0000FF"/>
                  <w:sz w:val="20"/>
                  <w:u w:val="single"/>
                </w:rPr>
                <w:t>Condensed Consolidated Statements of Comprehensive Income for the three and nine months ended June 30, 2026 and 2025</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22">
              <w:r>
                <w:rPr>
                  <w:rStyle w:val="InternetLink"/>
                  <w:rFonts w:ascii="Times New Roman;serif" w:hAnsi="Times New Roman;serif"/>
                  <w:b w:val="false"/>
                  <w:color w:val="0000FF"/>
                  <w:sz w:val="20"/>
                  <w:u w:val="single"/>
                </w:rPr>
                <w:t>6</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25">
              <w:r>
                <w:rPr>
                  <w:rStyle w:val="InternetLink"/>
                  <w:rFonts w:ascii="Times New Roman;serif" w:hAnsi="Times New Roman;serif"/>
                  <w:b w:val="false"/>
                  <w:color w:val="0000FF"/>
                  <w:sz w:val="20"/>
                  <w:u w:val="single"/>
                </w:rPr>
                <w:t>Condensed Consolidated Statements of Cash Flows for the nine months ended June 30, 2026 and 2025</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25">
              <w:r>
                <w:rPr>
                  <w:rStyle w:val="InternetLink"/>
                  <w:rFonts w:ascii="Times New Roman;serif" w:hAnsi="Times New Roman;serif"/>
                  <w:b w:val="false"/>
                  <w:color w:val="0000FF"/>
                  <w:sz w:val="20"/>
                  <w:u w:val="single"/>
                </w:rPr>
                <w:t>7</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28">
              <w:r>
                <w:rPr>
                  <w:rStyle w:val="InternetLink"/>
                  <w:rFonts w:ascii="Times New Roman;serif" w:hAnsi="Times New Roman;serif"/>
                  <w:b w:val="false"/>
                  <w:color w:val="0000FF"/>
                  <w:sz w:val="20"/>
                  <w:u w:val="single"/>
                </w:rPr>
                <w:t>Condensed Consolidated Statements of Changes in Equity for the three and nine months ended June 30, 2026 and 2025</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28">
              <w:r>
                <w:rPr>
                  <w:rStyle w:val="InternetLink"/>
                  <w:rFonts w:ascii="Times New Roman;serif" w:hAnsi="Times New Roman;serif"/>
                  <w:b w:val="false"/>
                  <w:color w:val="0000FF"/>
                  <w:sz w:val="20"/>
                  <w:u w:val="single"/>
                </w:rPr>
                <w:t>8</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31">
              <w:r>
                <w:rPr>
                  <w:rStyle w:val="InternetLink"/>
                  <w:rFonts w:ascii="Times New Roman;serif" w:hAnsi="Times New Roman;serif"/>
                  <w:b w:val="false"/>
                  <w:color w:val="0000FF"/>
                  <w:sz w:val="20"/>
                  <w:u w:val="single"/>
                </w:rPr>
                <w:t>Notes to Condensed Consolidated Financial Statements</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31">
              <w:r>
                <w:rPr>
                  <w:rStyle w:val="InternetLink"/>
                  <w:rFonts w:ascii="Times New Roman;serif" w:hAnsi="Times New Roman;serif"/>
                  <w:b w:val="false"/>
                  <w:color w:val="0000FF"/>
                  <w:sz w:val="20"/>
                  <w:u w:val="single"/>
                </w:rPr>
                <w:t>9</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85">
              <w:r>
                <w:rPr>
                  <w:rStyle w:val="InternetLink"/>
                  <w:rFonts w:ascii="Times New Roman;serif" w:hAnsi="Times New Roman;serif"/>
                  <w:b w:val="false"/>
                  <w:color w:val="0000FF"/>
                  <w:sz w:val="20"/>
                  <w:u w:val="single"/>
                </w:rPr>
                <w:t>37</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97">
              <w:r>
                <w:rPr>
                  <w:rStyle w:val="InternetLink"/>
                  <w:rFonts w:ascii="Times New Roman;serif" w:hAnsi="Times New Roman;serif"/>
                  <w:b w:val="false"/>
                  <w:color w:val="0000FF"/>
                  <w:sz w:val="20"/>
                  <w:u w:val="single"/>
                </w:rPr>
                <w:t>Item 3. Quantitative and Qualitative Disclosures About Market Risk</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97">
              <w:r>
                <w:rPr>
                  <w:rStyle w:val="InternetLink"/>
                  <w:rFonts w:ascii="Times New Roman;serif" w:hAnsi="Times New Roman;serif"/>
                  <w:b w:val="false"/>
                  <w:color w:val="0000FF"/>
                  <w:sz w:val="20"/>
                  <w:u w:val="single"/>
                </w:rPr>
                <w:t>55</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00">
              <w:r>
                <w:rPr>
                  <w:rStyle w:val="InternetLink"/>
                  <w:rFonts w:ascii="Times New Roman;serif" w:hAnsi="Times New Roman;serif"/>
                  <w:b w:val="false"/>
                  <w:color w:val="0000FF"/>
                  <w:sz w:val="20"/>
                  <w:u w:val="single"/>
                </w:rPr>
                <w:t>Item 4. Controls and Procedures</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00">
              <w:r>
                <w:rPr>
                  <w:rStyle w:val="InternetLink"/>
                  <w:rFonts w:ascii="Times New Roman;serif" w:hAnsi="Times New Roman;serif"/>
                  <w:b w:val="false"/>
                  <w:color w:val="0000FF"/>
                  <w:sz w:val="20"/>
                  <w:u w:val="single"/>
                </w:rPr>
                <w:t>57</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03">
              <w:r>
                <w:rPr>
                  <w:rStyle w:val="InternetLink"/>
                  <w:rFonts w:ascii="Times New Roman;serif" w:hAnsi="Times New Roman;serif"/>
                  <w:b/>
                  <w:color w:val="0000FF"/>
                  <w:sz w:val="20"/>
                  <w:u w:val="single"/>
                </w:rPr>
                <w:t>Part II Other Information</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 Legal Proceedings</w:t>
            </w:r>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06">
              <w:r>
                <w:rPr>
                  <w:rStyle w:val="InternetLink"/>
                  <w:rFonts w:ascii="Times New Roman;serif" w:hAnsi="Times New Roman;serif"/>
                  <w:b w:val="false"/>
                  <w:color w:val="0000FF"/>
                  <w:sz w:val="20"/>
                  <w:u w:val="single"/>
                </w:rPr>
                <w:t>58</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06">
              <w:r>
                <w:rPr>
                  <w:rStyle w:val="InternetLink"/>
                  <w:rFonts w:ascii="Times New Roman;serif" w:hAnsi="Times New Roman;serif"/>
                  <w:b w:val="false"/>
                  <w:color w:val="0000FF"/>
                  <w:sz w:val="20"/>
                  <w:u w:val="single"/>
                </w:rPr>
                <w:t>Item 1A. Risk Factors</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06">
              <w:r>
                <w:rPr>
                  <w:rStyle w:val="InternetLink"/>
                  <w:rFonts w:ascii="Times New Roman;serif" w:hAnsi="Times New Roman;serif"/>
                  <w:b w:val="false"/>
                  <w:color w:val="0000FF"/>
                  <w:sz w:val="20"/>
                  <w:u w:val="single"/>
                </w:rPr>
                <w:t>58</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15">
              <w:r>
                <w:rPr>
                  <w:rStyle w:val="InternetLink"/>
                  <w:rFonts w:ascii="Times New Roman;serif" w:hAnsi="Times New Roman;serif"/>
                  <w:b w:val="false"/>
                  <w:color w:val="0000FF"/>
                  <w:sz w:val="20"/>
                  <w:u w:val="single"/>
                </w:rPr>
                <w:t>Item 5. Other Information</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15">
              <w:r>
                <w:rPr>
                  <w:rStyle w:val="InternetLink"/>
                  <w:rFonts w:ascii="Times New Roman;serif" w:hAnsi="Times New Roman;serif"/>
                  <w:b w:val="false"/>
                  <w:color w:val="0000FF"/>
                  <w:sz w:val="20"/>
                  <w:u w:val="single"/>
                </w:rPr>
                <w:t>58</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r>
      <w:tr>
        <w:trPr/>
        <w:tc>
          <w:tcPr>
            <w:tcW w:w="9708"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18">
              <w:r>
                <w:rPr>
                  <w:rStyle w:val="InternetLink"/>
                  <w:rFonts w:ascii="Times New Roman;serif" w:hAnsi="Times New Roman;serif"/>
                  <w:b w:val="false"/>
                  <w:color w:val="0000FF"/>
                  <w:sz w:val="20"/>
                  <w:u w:val="single"/>
                </w:rPr>
                <w:t>Item 6. Exhibits</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18">
              <w:r>
                <w:rPr>
                  <w:rStyle w:val="InternetLink"/>
                  <w:rFonts w:ascii="Times New Roman;serif" w:hAnsi="Times New Roman;serif"/>
                  <w:b w:val="false"/>
                  <w:color w:val="0000FF"/>
                  <w:sz w:val="20"/>
                  <w:u w:val="single"/>
                </w:rPr>
                <w:t>58</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601f6278c14de6862c393d1ad10129_124">
              <w:r>
                <w:rPr>
                  <w:rStyle w:val="InternetLink"/>
                  <w:rFonts w:ascii="Times New Roman;serif" w:hAnsi="Times New Roman;serif"/>
                  <w:b w:val="false"/>
                  <w:color w:val="0000FF"/>
                  <w:sz w:val="20"/>
                  <w:u w:val="single"/>
                </w:rPr>
                <w:t>Signatures</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601f6278c14de6862c393d1ad10129_124">
              <w:r>
                <w:rPr>
                  <w:rStyle w:val="InternetLink"/>
                  <w:rFonts w:ascii="Times New Roman;serif" w:hAnsi="Times New Roman;serif"/>
                  <w:b w:val="false"/>
                  <w:color w:val="0000FF"/>
                  <w:sz w:val="20"/>
                  <w:u w:val="single"/>
                </w:rPr>
                <w:t>61</w:t>
              </w:r>
            </w:hyperlink>
          </w:p>
        </w:tc>
      </w:tr>
      <w:tr>
        <w:trPr/>
        <w:tc>
          <w:tcPr>
            <w:tcW w:w="9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GLOSSARY OF TERMS AND ABBREVIATIONS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Terms and abbreviations used in this Form 10-Q are defined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UGI Corporation and Related Entities</w: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i/>
          <w:color w:val="000000"/>
          <w:sz w:val="20"/>
        </w:rPr>
        <w:t xml:space="preserve">AmeriGas OLP - </w:t>
      </w:r>
      <w:r>
        <w:rPr>
          <w:rFonts w:ascii="Times New Roman;serif" w:hAnsi="Times New Roman;serif"/>
          <w:b w:val="false"/>
          <w:color w:val="000000"/>
          <w:sz w:val="20"/>
        </w:rPr>
        <w:t>AmeriGas Propane, L.P., the principal operating subsidiary of AmeriGas Partners</w:t>
      </w:r>
    </w:p>
    <w:p>
      <w:pPr>
        <w:pStyle w:val="TextBody"/>
        <w:bidi w:val="0"/>
        <w:spacing w:lineRule="auto" w:line="288" w:before="0" w:after="200"/>
        <w:jc w:val="both"/>
        <w:rPr/>
      </w:pPr>
      <w:r>
        <w:rPr>
          <w:rFonts w:ascii="Times New Roman;serif" w:hAnsi="Times New Roman;serif"/>
          <w:b/>
          <w:i/>
          <w:color w:val="000000"/>
          <w:sz w:val="20"/>
        </w:rPr>
        <w:t>AmeriGas Partners -</w:t>
      </w:r>
      <w:r>
        <w:rPr>
          <w:color w:val="000000"/>
        </w:rPr>
        <w:t xml:space="preserve"> </w:t>
      </w:r>
      <w:r>
        <w:rPr>
          <w:rFonts w:ascii="Times New Roman;serif" w:hAnsi="Times New Roman;serif"/>
          <w:b w:val="false"/>
          <w:color w:val="000000"/>
          <w:sz w:val="20"/>
        </w:rPr>
        <w:t>AmeriGas Partners, L.P., an indirect wholly owned subsidiary of UGI; also referred to, together with its consolidated subsidiaries, as the “Partnership”</w:t>
      </w:r>
    </w:p>
    <w:p>
      <w:pPr>
        <w:pStyle w:val="TextBody"/>
        <w:bidi w:val="0"/>
        <w:spacing w:lineRule="auto" w:line="288" w:before="0" w:after="200"/>
        <w:jc w:val="both"/>
        <w:rPr/>
      </w:pPr>
      <w:r>
        <w:rPr>
          <w:rFonts w:ascii="Times New Roman;serif" w:hAnsi="Times New Roman;serif"/>
          <w:b/>
          <w:i/>
          <w:color w:val="000000"/>
          <w:sz w:val="20"/>
        </w:rPr>
        <w:t>AmeriGas Propane -</w:t>
      </w:r>
      <w:r>
        <w:rPr>
          <w:color w:val="000000"/>
        </w:rPr>
        <w:t xml:space="preserve"> </w:t>
      </w:r>
      <w:r>
        <w:rPr>
          <w:rFonts w:ascii="Times New Roman;serif" w:hAnsi="Times New Roman;serif"/>
          <w:b w:val="false"/>
          <w:color w:val="000000"/>
          <w:sz w:val="20"/>
        </w:rPr>
        <w:t>Reportable segment comprising AmeriGas Propane, Inc. and its subsidiaries, including AmeriGas Partners and AmeriGas OLP</w:t>
      </w:r>
    </w:p>
    <w:p>
      <w:pPr>
        <w:pStyle w:val="TextBody"/>
        <w:bidi w:val="0"/>
        <w:spacing w:lineRule="auto" w:line="288" w:before="0" w:after="200"/>
        <w:jc w:val="both"/>
        <w:rPr/>
      </w:pPr>
      <w:r>
        <w:rPr>
          <w:rFonts w:ascii="Times New Roman;serif" w:hAnsi="Times New Roman;serif"/>
          <w:b/>
          <w:i/>
          <w:color w:val="000000"/>
          <w:sz w:val="20"/>
        </w:rPr>
        <w:t>AmeriGas Propane, Inc. -</w:t>
      </w:r>
      <w:r>
        <w:rPr>
          <w:color w:val="000000"/>
        </w:rPr>
        <w:t xml:space="preserve"> </w:t>
      </w:r>
      <w:r>
        <w:rPr>
          <w:rFonts w:ascii="Times New Roman;serif" w:hAnsi="Times New Roman;serif"/>
          <w:b w:val="false"/>
          <w:color w:val="000000"/>
          <w:sz w:val="20"/>
        </w:rPr>
        <w:t>A wholly owned second-tier subsidiary of UGI and the general partner of AmeriGas Partners</w:t>
      </w:r>
    </w:p>
    <w:p>
      <w:pPr>
        <w:pStyle w:val="TextBody"/>
        <w:bidi w:val="0"/>
        <w:spacing w:lineRule="auto" w:line="288" w:before="0" w:after="200"/>
        <w:jc w:val="both"/>
        <w:rPr/>
      </w:pPr>
      <w:r>
        <w:rPr>
          <w:rFonts w:ascii="Times New Roman;serif" w:hAnsi="Times New Roman;serif"/>
          <w:b/>
          <w:i/>
          <w:color w:val="000000"/>
          <w:sz w:val="20"/>
        </w:rPr>
        <w:t>AvantiGas -</w:t>
      </w:r>
      <w:r>
        <w:rPr>
          <w:color w:val="000000"/>
        </w:rPr>
        <w:t xml:space="preserve"> </w:t>
      </w:r>
      <w:r>
        <w:rPr>
          <w:rFonts w:ascii="Times New Roman;serif" w:hAnsi="Times New Roman;serif"/>
          <w:b w:val="false"/>
          <w:color w:val="000000"/>
          <w:sz w:val="20"/>
        </w:rPr>
        <w:t>AvantiGas Limited, an indirect wholly owned subsidiary of UGI International, LLC</w:t>
      </w:r>
    </w:p>
    <w:p>
      <w:pPr>
        <w:pStyle w:val="TextBody"/>
        <w:bidi w:val="0"/>
        <w:spacing w:lineRule="auto" w:line="288" w:before="0" w:after="200"/>
        <w:jc w:val="both"/>
        <w:rPr/>
      </w:pPr>
      <w:r>
        <w:rPr>
          <w:rFonts w:ascii="Times New Roman;serif" w:hAnsi="Times New Roman;serif"/>
          <w:b/>
          <w:i/>
          <w:color w:val="000000"/>
          <w:sz w:val="20"/>
        </w:rPr>
        <w:t>Company -</w:t>
      </w:r>
      <w:r>
        <w:rPr>
          <w:color w:val="000000"/>
        </w:rPr>
        <w:t xml:space="preserve"> </w:t>
      </w:r>
      <w:r>
        <w:rPr>
          <w:rFonts w:ascii="Times New Roman;serif" w:hAnsi="Times New Roman;serif"/>
          <w:b w:val="false"/>
          <w:color w:val="000000"/>
          <w:sz w:val="20"/>
        </w:rPr>
        <w:t>UGI and its consolidated subsidiaries collectively</w:t>
      </w:r>
    </w:p>
    <w:p>
      <w:pPr>
        <w:pStyle w:val="TextBody"/>
        <w:bidi w:val="0"/>
        <w:spacing w:lineRule="auto" w:line="288" w:before="0" w:after="200"/>
        <w:jc w:val="both"/>
        <w:rPr/>
      </w:pPr>
      <w:r>
        <w:rPr>
          <w:rFonts w:ascii="Times New Roman;serif" w:hAnsi="Times New Roman;serif"/>
          <w:b/>
          <w:i/>
          <w:color w:val="000000"/>
          <w:sz w:val="20"/>
        </w:rPr>
        <w:t>Electric Utility -</w:t>
      </w:r>
      <w:r>
        <w:rPr>
          <w:color w:val="000000"/>
        </w:rPr>
        <w:t xml:space="preserve"> </w:t>
      </w:r>
      <w:r>
        <w:rPr>
          <w:rFonts w:ascii="Times New Roman;serif" w:hAnsi="Times New Roman;serif"/>
          <w:b w:val="false"/>
          <w:color w:val="000000"/>
          <w:sz w:val="20"/>
        </w:rPr>
        <w:t>UGI Utilities’ regulated electric distribution utility</w:t>
      </w:r>
    </w:p>
    <w:p>
      <w:pPr>
        <w:pStyle w:val="TextBody"/>
        <w:bidi w:val="0"/>
        <w:spacing w:lineRule="auto" w:line="288" w:before="0" w:after="200"/>
        <w:jc w:val="both"/>
        <w:rPr/>
      </w:pPr>
      <w:r>
        <w:rPr>
          <w:rFonts w:ascii="Times New Roman;serif" w:hAnsi="Times New Roman;serif"/>
          <w:b/>
          <w:i/>
          <w:color w:val="000000"/>
          <w:sz w:val="20"/>
        </w:rPr>
        <w:t>Energy Services -</w:t>
      </w:r>
      <w:r>
        <w:rPr>
          <w:color w:val="000000"/>
        </w:rPr>
        <w:t xml:space="preserve"> </w:t>
      </w:r>
      <w:r>
        <w:rPr>
          <w:rFonts w:ascii="Times New Roman;serif" w:hAnsi="Times New Roman;serif"/>
          <w:b w:val="false"/>
          <w:color w:val="000000"/>
          <w:sz w:val="20"/>
        </w:rPr>
        <w:t>UGI Energy Services, LLC, a wholly owned subsidiary of Enterprises</w:t>
      </w:r>
    </w:p>
    <w:p>
      <w:pPr>
        <w:pStyle w:val="TextBody"/>
        <w:bidi w:val="0"/>
        <w:spacing w:lineRule="auto" w:line="288" w:before="0" w:after="200"/>
        <w:jc w:val="both"/>
        <w:rPr/>
      </w:pPr>
      <w:r>
        <w:rPr>
          <w:rFonts w:ascii="Times New Roman;serif" w:hAnsi="Times New Roman;serif"/>
          <w:b/>
          <w:i/>
          <w:color w:val="000000"/>
          <w:sz w:val="20"/>
        </w:rPr>
        <w:t xml:space="preserve">Enterprises - </w:t>
      </w:r>
      <w:r>
        <w:rPr>
          <w:rFonts w:ascii="Times New Roman;serif" w:hAnsi="Times New Roman;serif"/>
          <w:b w:val="false"/>
          <w:color w:val="000000"/>
          <w:sz w:val="20"/>
        </w:rPr>
        <w:t>UGI Enterprises, LLC, a wholly owned subsidiary of UGI</w:t>
      </w:r>
    </w:p>
    <w:p>
      <w:pPr>
        <w:pStyle w:val="TextBody"/>
        <w:bidi w:val="0"/>
        <w:spacing w:lineRule="auto" w:line="288" w:before="0" w:after="200"/>
        <w:jc w:val="both"/>
        <w:rPr/>
      </w:pPr>
      <w:r>
        <w:rPr>
          <w:rFonts w:ascii="Times New Roman;serif" w:hAnsi="Times New Roman;serif"/>
          <w:b/>
          <w:i/>
          <w:color w:val="000000"/>
          <w:sz w:val="20"/>
        </w:rPr>
        <w:t>ESFC -</w:t>
      </w:r>
      <w:r>
        <w:rPr>
          <w:color w:val="000000"/>
        </w:rPr>
        <w:t xml:space="preserve"> </w:t>
      </w:r>
      <w:r>
        <w:rPr>
          <w:rFonts w:ascii="Times New Roman;serif" w:hAnsi="Times New Roman;serif"/>
          <w:b w:val="false"/>
          <w:color w:val="000000"/>
          <w:sz w:val="20"/>
        </w:rPr>
        <w:t>Energy Services Funding Corporation, a wholly owned subsidiary of Energy Services</w:t>
      </w:r>
    </w:p>
    <w:p>
      <w:pPr>
        <w:pStyle w:val="TextBody"/>
        <w:bidi w:val="0"/>
        <w:spacing w:lineRule="auto" w:line="288" w:before="0" w:after="200"/>
        <w:jc w:val="both"/>
        <w:rPr/>
      </w:pPr>
      <w:r>
        <w:rPr>
          <w:rFonts w:ascii="Times New Roman;serif" w:hAnsi="Times New Roman;serif"/>
          <w:b/>
          <w:i/>
          <w:color w:val="000000"/>
          <w:sz w:val="20"/>
        </w:rPr>
        <w:t xml:space="preserve">Flaga - </w:t>
      </w:r>
      <w:r>
        <w:rPr>
          <w:rFonts w:ascii="Times New Roman;serif" w:hAnsi="Times New Roman;serif"/>
          <w:b w:val="false"/>
          <w:color w:val="000000"/>
          <w:sz w:val="20"/>
        </w:rPr>
        <w:t>Flaga GmbH, an indirect wholly owned subsidiary of UGI International, LLC, prior to its sale in November 2025</w:t>
      </w:r>
    </w:p>
    <w:p>
      <w:pPr>
        <w:pStyle w:val="TextBody"/>
        <w:bidi w:val="0"/>
        <w:spacing w:lineRule="auto" w:line="288" w:before="0" w:after="200"/>
        <w:jc w:val="both"/>
        <w:rPr/>
      </w:pPr>
      <w:r>
        <w:rPr>
          <w:rFonts w:ascii="Times New Roman;serif" w:hAnsi="Times New Roman;serif"/>
          <w:b/>
          <w:i/>
          <w:color w:val="000000"/>
          <w:sz w:val="20"/>
        </w:rPr>
        <w:t>Gas Utility -</w:t>
      </w:r>
      <w:r>
        <w:rPr>
          <w:color w:val="000000"/>
        </w:rPr>
        <w:t xml:space="preserve"> </w:t>
      </w:r>
      <w:r>
        <w:rPr>
          <w:rFonts w:ascii="Times New Roman;serif" w:hAnsi="Times New Roman;serif"/>
          <w:b w:val="false"/>
          <w:color w:val="000000"/>
          <w:sz w:val="20"/>
        </w:rPr>
        <w:t>UGI’s regulated natural gas businesses, inclusive of PA Gas Utility and WV Gas Utility</w:t>
      </w:r>
    </w:p>
    <w:p>
      <w:pPr>
        <w:pStyle w:val="TextBody"/>
        <w:bidi w:val="0"/>
        <w:spacing w:lineRule="auto" w:line="288" w:before="0" w:after="200"/>
        <w:jc w:val="both"/>
        <w:rPr/>
      </w:pPr>
      <w:r>
        <w:rPr>
          <w:rFonts w:ascii="Times New Roman;serif" w:hAnsi="Times New Roman;serif"/>
          <w:b/>
          <w:i/>
          <w:color w:val="000000"/>
          <w:sz w:val="20"/>
        </w:rPr>
        <w:t>Midstream &amp; Marketing -</w:t>
      </w:r>
      <w:r>
        <w:rPr>
          <w:color w:val="000000"/>
        </w:rPr>
        <w:t xml:space="preserve"> </w:t>
      </w:r>
      <w:r>
        <w:rPr>
          <w:rFonts w:ascii="Times New Roman;serif" w:hAnsi="Times New Roman;serif"/>
          <w:b w:val="false"/>
          <w:color w:val="000000"/>
          <w:sz w:val="20"/>
        </w:rPr>
        <w:t>Reportable segment comprising Energy Services and subsidiaries</w:t>
      </w:r>
    </w:p>
    <w:p>
      <w:pPr>
        <w:pStyle w:val="TextBody"/>
        <w:bidi w:val="0"/>
        <w:spacing w:lineRule="auto" w:line="288" w:before="0" w:after="200"/>
        <w:jc w:val="both"/>
        <w:rPr/>
      </w:pPr>
      <w:r>
        <w:rPr>
          <w:rFonts w:ascii="Times New Roman;serif" w:hAnsi="Times New Roman;serif"/>
          <w:b/>
          <w:i/>
          <w:color w:val="000000"/>
          <w:sz w:val="20"/>
        </w:rPr>
        <w:t xml:space="preserve">Mountaineer - </w:t>
      </w:r>
      <w:r>
        <w:rPr>
          <w:rFonts w:ascii="Times New Roman;serif" w:hAnsi="Times New Roman;serif"/>
          <w:b w:val="false"/>
          <w:color w:val="000000"/>
          <w:sz w:val="20"/>
        </w:rPr>
        <w:t>Mountaineer Gas Company, a natural gas distribution company in West Virginia and a wholly owned subsidiary of Mountaintop Energy Holdings, LLC</w:t>
      </w:r>
    </w:p>
    <w:p>
      <w:pPr>
        <w:pStyle w:val="TextBody"/>
        <w:bidi w:val="0"/>
        <w:spacing w:lineRule="auto" w:line="288" w:before="0" w:after="200"/>
        <w:jc w:val="both"/>
        <w:rPr/>
      </w:pPr>
      <w:r>
        <w:rPr>
          <w:rFonts w:ascii="Times New Roman;serif" w:hAnsi="Times New Roman;serif"/>
          <w:b/>
          <w:i/>
          <w:color w:val="000000"/>
          <w:sz w:val="20"/>
        </w:rPr>
        <w:t xml:space="preserve">Mountaintop Energy Holdings, LLC - </w:t>
      </w:r>
      <w:r>
        <w:rPr>
          <w:rFonts w:ascii="Times New Roman;serif" w:hAnsi="Times New Roman;serif"/>
          <w:b w:val="false"/>
          <w:color w:val="000000"/>
          <w:sz w:val="20"/>
        </w:rPr>
        <w:t>Parent company of Mountaineer and wholly owned subsidiary of UGI</w:t>
      </w:r>
    </w:p>
    <w:p>
      <w:pPr>
        <w:pStyle w:val="TextBody"/>
        <w:bidi w:val="0"/>
        <w:spacing w:lineRule="auto" w:line="288" w:before="0" w:after="200"/>
        <w:jc w:val="both"/>
        <w:rPr/>
      </w:pPr>
      <w:r>
        <w:rPr>
          <w:rFonts w:ascii="Times New Roman;serif" w:hAnsi="Times New Roman;serif"/>
          <w:b/>
          <w:i/>
          <w:color w:val="000000"/>
          <w:sz w:val="20"/>
        </w:rPr>
        <w:t xml:space="preserve">PA Gas Utility - </w:t>
      </w:r>
      <w:r>
        <w:rPr>
          <w:rFonts w:ascii="Times New Roman;serif" w:hAnsi="Times New Roman;serif"/>
          <w:b w:val="false"/>
          <w:color w:val="000000"/>
          <w:sz w:val="20"/>
        </w:rPr>
        <w:t>UGI Utilities’ regulated natural gas distribution business, primarily located in Pennsylvania</w:t>
      </w:r>
    </w:p>
    <w:p>
      <w:pPr>
        <w:pStyle w:val="TextBody"/>
        <w:bidi w:val="0"/>
        <w:spacing w:lineRule="auto" w:line="288" w:before="0" w:after="200"/>
        <w:jc w:val="left"/>
        <w:rPr/>
      </w:pPr>
      <w:r>
        <w:rPr>
          <w:rFonts w:ascii="Times New Roman;serif" w:hAnsi="Times New Roman;serif"/>
          <w:b/>
          <w:i/>
          <w:color w:val="000000"/>
          <w:sz w:val="20"/>
        </w:rPr>
        <w:t>Partnership -</w:t>
      </w:r>
      <w:r>
        <w:rPr>
          <w:color w:val="000000"/>
        </w:rPr>
        <w:t xml:space="preserve"> </w:t>
      </w:r>
      <w:r>
        <w:rPr>
          <w:rFonts w:ascii="Times New Roman;serif" w:hAnsi="Times New Roman;serif"/>
          <w:b w:val="false"/>
          <w:color w:val="000000"/>
          <w:sz w:val="20"/>
        </w:rPr>
        <w:t>AmeriGas Partners and its consolidated subsidiaries, including AmeriGas OLP; also referred to as “AmeriGas Partners”</w:t>
      </w:r>
    </w:p>
    <w:p>
      <w:pPr>
        <w:pStyle w:val="TextBody"/>
        <w:bidi w:val="0"/>
        <w:spacing w:lineRule="auto" w:line="288" w:before="0" w:after="200"/>
        <w:jc w:val="both"/>
        <w:rPr/>
      </w:pPr>
      <w:r>
        <w:rPr>
          <w:rFonts w:ascii="Times New Roman;serif" w:hAnsi="Times New Roman;serif"/>
          <w:b/>
          <w:i/>
          <w:color w:val="000000"/>
          <w:sz w:val="20"/>
        </w:rPr>
        <w:t>UGI</w:t>
      </w:r>
      <w:r>
        <w:rPr>
          <w:color w:val="000000"/>
        </w:rPr>
        <w:t xml:space="preserve"> </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UGI Corporation or, collectively, UGI Corporation and its consolidated subsidiaries</w:t>
      </w:r>
    </w:p>
    <w:p>
      <w:pPr>
        <w:pStyle w:val="TextBody"/>
        <w:bidi w:val="0"/>
        <w:spacing w:lineRule="auto" w:line="288" w:before="0" w:after="200"/>
        <w:jc w:val="both"/>
        <w:rPr/>
      </w:pPr>
      <w:r>
        <w:rPr>
          <w:rFonts w:ascii="Times New Roman;serif" w:hAnsi="Times New Roman;serif"/>
          <w:b/>
          <w:i/>
          <w:color w:val="000000"/>
          <w:sz w:val="20"/>
        </w:rPr>
        <w:t xml:space="preserve">UGI France - </w:t>
      </w:r>
      <w:r>
        <w:rPr>
          <w:rFonts w:ascii="Times New Roman;serif" w:hAnsi="Times New Roman;serif"/>
          <w:b w:val="false"/>
          <w:color w:val="000000"/>
          <w:sz w:val="20"/>
        </w:rPr>
        <w:t>UGI France SAS (</w:t>
      </w:r>
      <w:r>
        <w:rPr>
          <w:rFonts w:ascii="Times New Roman;serif" w:hAnsi="Times New Roman;serif"/>
          <w:b w:val="false"/>
          <w:i/>
          <w:color w:val="000000"/>
          <w:sz w:val="20"/>
        </w:rPr>
        <w:t>a Société par actions simplifiée</w:t>
      </w:r>
      <w:r>
        <w:rPr>
          <w:rFonts w:ascii="Times New Roman;serif" w:hAnsi="Times New Roman;serif"/>
          <w:b w:val="false"/>
          <w:color w:val="000000"/>
          <w:sz w:val="20"/>
        </w:rPr>
        <w:t>), an indirect wholly owned subsidiary of UGI International, LLC</w:t>
      </w:r>
    </w:p>
    <w:p>
      <w:pPr>
        <w:pStyle w:val="TextBody"/>
        <w:bidi w:val="0"/>
        <w:spacing w:lineRule="auto" w:line="288" w:before="0" w:after="200"/>
        <w:jc w:val="both"/>
        <w:rPr/>
      </w:pPr>
      <w:r>
        <w:rPr>
          <w:rFonts w:ascii="Times New Roman;serif" w:hAnsi="Times New Roman;serif"/>
          <w:b/>
          <w:i/>
          <w:color w:val="000000"/>
          <w:sz w:val="20"/>
        </w:rPr>
        <w:t>UGI International</w:t>
      </w:r>
      <w:r>
        <w:rPr>
          <w:color w:val="000000"/>
        </w:rPr>
        <w:t xml:space="preserve"> </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Reportable segment principally comprising UGI International, LLC and its foreign operations</w:t>
      </w:r>
    </w:p>
    <w:p>
      <w:pPr>
        <w:pStyle w:val="TextBody"/>
        <w:bidi w:val="0"/>
        <w:spacing w:lineRule="auto" w:line="288" w:before="0" w:after="200"/>
        <w:jc w:val="both"/>
        <w:rPr/>
      </w:pPr>
      <w:r>
        <w:rPr>
          <w:rFonts w:ascii="Times New Roman;serif" w:hAnsi="Times New Roman;serif"/>
          <w:b/>
          <w:i/>
          <w:color w:val="000000"/>
          <w:sz w:val="20"/>
        </w:rPr>
        <w:t>UGI International, LLC</w:t>
      </w:r>
      <w:r>
        <w:rPr>
          <w:color w:val="000000"/>
        </w:rPr>
        <w:t xml:space="preserve"> </w:t>
      </w:r>
      <w:r>
        <w:rPr>
          <w:rFonts w:ascii="Times New Roman;serif" w:hAnsi="Times New Roman;serif"/>
          <w:b/>
          <w:i/>
          <w:color w:val="000000"/>
          <w:sz w:val="20"/>
        </w:rPr>
        <w:t xml:space="preserve">- </w:t>
      </w:r>
      <w:r>
        <w:rPr>
          <w:rFonts w:ascii="Times New Roman;serif" w:hAnsi="Times New Roman;serif"/>
          <w:b w:val="false"/>
          <w:color w:val="000000"/>
          <w:sz w:val="20"/>
        </w:rPr>
        <w:t>UGI International, LLC, a wholly owned subsidiary of Enterprises</w:t>
      </w:r>
    </w:p>
    <w:p>
      <w:pPr>
        <w:pStyle w:val="TextBody"/>
        <w:bidi w:val="0"/>
        <w:spacing w:lineRule="auto" w:line="288" w:before="0" w:after="200"/>
        <w:jc w:val="both"/>
        <w:rPr/>
      </w:pPr>
      <w:r>
        <w:rPr>
          <w:rFonts w:ascii="Times New Roman;serif" w:hAnsi="Times New Roman;serif"/>
          <w:b/>
          <w:i/>
          <w:color w:val="000000"/>
          <w:sz w:val="20"/>
        </w:rPr>
        <w:t>UGI Utilities -</w:t>
      </w:r>
      <w:r>
        <w:rPr>
          <w:color w:val="000000"/>
        </w:rPr>
        <w:t xml:space="preserve"> </w:t>
      </w:r>
      <w:r>
        <w:rPr>
          <w:rFonts w:ascii="Times New Roman;serif" w:hAnsi="Times New Roman;serif"/>
          <w:b w:val="false"/>
          <w:color w:val="000000"/>
          <w:sz w:val="20"/>
        </w:rPr>
        <w:t>UGI Utilities, Inc., a wholly owned subsidiary of UGI comprising PA Gas Utility and Electric Utility</w:t>
      </w:r>
    </w:p>
    <w:p>
      <w:pPr>
        <w:pStyle w:val="TextBody"/>
        <w:bidi w:val="0"/>
        <w:spacing w:lineRule="auto" w:line="288" w:before="0" w:after="200"/>
        <w:jc w:val="both"/>
        <w:rPr/>
      </w:pPr>
      <w:r>
        <w:rPr>
          <w:rFonts w:ascii="Times New Roman;serif" w:hAnsi="Times New Roman;serif"/>
          <w:b/>
          <w:i/>
          <w:color w:val="000000"/>
          <w:sz w:val="20"/>
        </w:rPr>
        <w:t>UniverGas -</w:t>
      </w:r>
      <w:r>
        <w:rPr>
          <w:color w:val="000000"/>
        </w:rPr>
        <w:t xml:space="preserve"> </w:t>
      </w:r>
      <w:r>
        <w:rPr>
          <w:rFonts w:ascii="Times New Roman;serif" w:hAnsi="Times New Roman;serif"/>
          <w:b w:val="false"/>
          <w:color w:val="000000"/>
          <w:sz w:val="20"/>
        </w:rPr>
        <w:t>UniverGas Italia S.r.l, an indirect wholly owned subsidiary of UGI International, LLC prior to its sale in June 2025</w:t>
      </w:r>
    </w:p>
    <w:p>
      <w:pPr>
        <w:pStyle w:val="TextBody"/>
        <w:bidi w:val="0"/>
        <w:spacing w:lineRule="auto" w:line="288" w:before="0" w:after="200"/>
        <w:jc w:val="both"/>
        <w:rPr/>
      </w:pPr>
      <w:r>
        <w:rPr>
          <w:rFonts w:ascii="Times New Roman;serif" w:hAnsi="Times New Roman;serif"/>
          <w:b/>
          <w:i/>
          <w:color w:val="000000"/>
          <w:sz w:val="20"/>
        </w:rPr>
        <w:t xml:space="preserve">Utilities - </w:t>
      </w:r>
      <w:r>
        <w:rPr>
          <w:rFonts w:ascii="Times New Roman;serif" w:hAnsi="Times New Roman;serif"/>
          <w:b w:val="false"/>
          <w:color w:val="000000"/>
          <w:sz w:val="20"/>
        </w:rPr>
        <w:t>Reportable segment comprising UGI Utilities and Mountaintop Energy Holdings, LLC</w:t>
      </w:r>
    </w:p>
    <w:p>
      <w:pPr>
        <w:pStyle w:val="TextBody"/>
        <w:bidi w:val="0"/>
        <w:spacing w:lineRule="auto" w:line="288" w:before="0" w:after="200"/>
        <w:jc w:val="both"/>
        <w:rPr/>
      </w:pPr>
      <w:r>
        <w:rPr>
          <w:rFonts w:ascii="Times New Roman;serif" w:hAnsi="Times New Roman;serif"/>
          <w:b/>
          <w:i/>
          <w:color w:val="000000"/>
          <w:sz w:val="20"/>
        </w:rPr>
        <w:t>WV Gas Utility</w:t>
      </w:r>
      <w:r>
        <w:rPr>
          <w:color w:val="000000"/>
        </w:rPr>
        <w:t xml:space="preserve"> </w:t>
      </w:r>
      <w:r>
        <w:rPr>
          <w:rFonts w:ascii="Times New Roman;serif" w:hAnsi="Times New Roman;serif"/>
          <w:b w:val="false"/>
          <w:color w:val="000000"/>
          <w:sz w:val="20"/>
        </w:rPr>
        <w:t>- Mountaineer’s regulated natural gas distribution business, located in West Virginia</w:t>
      </w:r>
    </w:p>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i/>
          <w:color w:val="000000"/>
          <w:sz w:val="20"/>
          <w:u w:val="single"/>
        </w:rPr>
      </w:pPr>
      <w:r>
        <w:rPr>
          <w:rFonts w:ascii="Times New Roman;serif" w:hAnsi="Times New Roman;serif"/>
          <w:b/>
          <w:i/>
          <w:color w:val="000000"/>
          <w:sz w:val="20"/>
          <w:u w:val="single"/>
        </w:rPr>
        <w:t>Other Terms and Abbreviations</w:t>
      </w:r>
    </w:p>
    <w:p>
      <w:pPr>
        <w:pStyle w:val="TextBody"/>
        <w:bidi w:val="0"/>
        <w:spacing w:lineRule="auto" w:line="288" w:before="0" w:after="200"/>
        <w:jc w:val="both"/>
        <w:rPr/>
      </w:pPr>
      <w:r>
        <w:rPr>
          <w:rFonts w:ascii="Times New Roman;serif" w:hAnsi="Times New Roman;serif"/>
          <w:b/>
          <w:i/>
          <w:color w:val="000000"/>
          <w:sz w:val="20"/>
        </w:rPr>
        <w:t>2025 Annual Report -</w:t>
      </w:r>
      <w:r>
        <w:rPr>
          <w:color w:val="000000"/>
        </w:rPr>
        <w:t xml:space="preserve"> </w:t>
      </w:r>
      <w:r>
        <w:rPr>
          <w:rFonts w:ascii="Times New Roman;serif" w:hAnsi="Times New Roman;serif"/>
          <w:b w:val="false"/>
          <w:color w:val="000000"/>
          <w:sz w:val="20"/>
        </w:rPr>
        <w:t>UGI Annual Report on Form 10-K for the fiscal year ended September 30, 2025</w:t>
      </w:r>
    </w:p>
    <w:p>
      <w:pPr>
        <w:pStyle w:val="TextBody"/>
        <w:bidi w:val="0"/>
        <w:spacing w:lineRule="auto" w:line="288" w:before="0" w:after="200"/>
        <w:jc w:val="both"/>
        <w:rPr/>
      </w:pPr>
      <w:r>
        <w:rPr>
          <w:rFonts w:ascii="Times New Roman;serif" w:hAnsi="Times New Roman;serif"/>
          <w:b/>
          <w:i/>
          <w:color w:val="000000"/>
          <w:sz w:val="20"/>
        </w:rPr>
        <w:t>2025 nine-month period</w:t>
      </w:r>
      <w:r>
        <w:rPr>
          <w:color w:val="000000"/>
        </w:rPr>
        <w:t xml:space="preserve"> </w:t>
      </w:r>
      <w:r>
        <w:rPr>
          <w:rFonts w:ascii="Times New Roman;serif" w:hAnsi="Times New Roman;serif"/>
          <w:b w:val="false"/>
          <w:color w:val="000000"/>
          <w:sz w:val="20"/>
        </w:rPr>
        <w:t>- Nine months ended June 30, 2025</w:t>
      </w:r>
    </w:p>
    <w:p>
      <w:pPr>
        <w:pStyle w:val="TextBody"/>
        <w:bidi w:val="0"/>
        <w:spacing w:lineRule="auto" w:line="288" w:before="0" w:after="200"/>
        <w:jc w:val="both"/>
        <w:rPr/>
      </w:pPr>
      <w:r>
        <w:rPr>
          <w:rFonts w:ascii="Times New Roman;serif" w:hAnsi="Times New Roman;serif"/>
          <w:b/>
          <w:i/>
          <w:color w:val="000000"/>
          <w:sz w:val="20"/>
        </w:rPr>
        <w:t>2025 three-month period</w:t>
      </w:r>
      <w:r>
        <w:rPr>
          <w:color w:val="000000"/>
        </w:rPr>
        <w:t xml:space="preserve"> </w:t>
      </w:r>
      <w:r>
        <w:rPr>
          <w:rFonts w:ascii="Times New Roman;serif" w:hAnsi="Times New Roman;serif"/>
          <w:b w:val="false"/>
          <w:color w:val="000000"/>
          <w:sz w:val="20"/>
        </w:rPr>
        <w:t>- Three months ended June 30, 2025</w:t>
      </w:r>
    </w:p>
    <w:p>
      <w:pPr>
        <w:pStyle w:val="TextBody"/>
        <w:bidi w:val="0"/>
        <w:spacing w:lineRule="auto" w:line="288" w:before="0" w:after="200"/>
        <w:jc w:val="both"/>
        <w:rPr/>
      </w:pPr>
      <w:r>
        <w:rPr>
          <w:rFonts w:ascii="Times New Roman;serif" w:hAnsi="Times New Roman;serif"/>
          <w:b/>
          <w:i/>
          <w:color w:val="000000"/>
          <w:sz w:val="20"/>
        </w:rPr>
        <w:t>2026 nine-month period</w:t>
      </w:r>
      <w:r>
        <w:rPr>
          <w:color w:val="000000"/>
        </w:rPr>
        <w:t xml:space="preserve"> </w:t>
      </w:r>
      <w:r>
        <w:rPr>
          <w:rFonts w:ascii="Times New Roman;serif" w:hAnsi="Times New Roman;serif"/>
          <w:b w:val="false"/>
          <w:color w:val="000000"/>
          <w:sz w:val="20"/>
        </w:rPr>
        <w:t>- Nine months ended June 30, 2026</w:t>
      </w:r>
    </w:p>
    <w:p>
      <w:pPr>
        <w:pStyle w:val="TextBody"/>
        <w:bidi w:val="0"/>
        <w:spacing w:lineRule="auto" w:line="288" w:before="0" w:after="200"/>
        <w:jc w:val="both"/>
        <w:rPr/>
      </w:pPr>
      <w:r>
        <w:rPr>
          <w:rFonts w:ascii="Times New Roman;serif" w:hAnsi="Times New Roman;serif"/>
          <w:b/>
          <w:i/>
          <w:color w:val="000000"/>
          <w:sz w:val="20"/>
        </w:rPr>
        <w:t>2026 three-month period</w:t>
      </w:r>
      <w:r>
        <w:rPr>
          <w:color w:val="000000"/>
        </w:rPr>
        <w:t xml:space="preserve"> </w:t>
      </w:r>
      <w:r>
        <w:rPr>
          <w:rFonts w:ascii="Times New Roman;serif" w:hAnsi="Times New Roman;serif"/>
          <w:b w:val="false"/>
          <w:color w:val="000000"/>
          <w:sz w:val="20"/>
        </w:rPr>
        <w:t>- Three months ended June 30, 2026</w:t>
      </w:r>
    </w:p>
    <w:p>
      <w:pPr>
        <w:pStyle w:val="TextBody"/>
        <w:bidi w:val="0"/>
        <w:spacing w:lineRule="auto" w:line="256" w:before="0" w:after="200"/>
        <w:jc w:val="both"/>
        <w:rPr/>
      </w:pPr>
      <w:r>
        <w:rPr>
          <w:rFonts w:ascii="Times New Roman;serif" w:hAnsi="Times New Roman;serif"/>
          <w:b/>
          <w:i/>
          <w:color w:val="000000"/>
          <w:sz w:val="20"/>
        </w:rPr>
        <w:t>AmeriGas Senior Secured Revolving Credit Facility -</w:t>
      </w:r>
      <w:r>
        <w:rPr>
          <w:color w:val="000000"/>
        </w:rPr>
        <w:t xml:space="preserve"> </w:t>
      </w:r>
      <w:r>
        <w:rPr>
          <w:rFonts w:ascii="Times New Roman;serif" w:hAnsi="Times New Roman;serif"/>
          <w:b w:val="false"/>
          <w:color w:val="000000"/>
          <w:sz w:val="20"/>
        </w:rPr>
        <w:t>Revolving credit agreement entered into by AmeriGas OLP on August 2, 2024 and scheduled to expire in August 2029</w:t>
      </w:r>
    </w:p>
    <w:p>
      <w:pPr>
        <w:pStyle w:val="TextBody"/>
        <w:bidi w:val="0"/>
        <w:spacing w:lineRule="auto" w:line="256" w:before="0" w:after="200"/>
        <w:jc w:val="both"/>
        <w:rPr/>
      </w:pPr>
      <w:r>
        <w:rPr>
          <w:rFonts w:ascii="Times New Roman;serif" w:hAnsi="Times New Roman;serif"/>
          <w:b/>
          <w:i/>
          <w:color w:val="000000"/>
          <w:sz w:val="20"/>
        </w:rPr>
        <w:t xml:space="preserve">AOCI - </w:t>
      </w:r>
      <w:r>
        <w:rPr>
          <w:rFonts w:ascii="Times New Roman;serif" w:hAnsi="Times New Roman;serif"/>
          <w:b w:val="false"/>
          <w:color w:val="000000"/>
          <w:sz w:val="20"/>
        </w:rPr>
        <w:t>Accumulated Other Comprehensive Income (Loss)</w:t>
      </w:r>
    </w:p>
    <w:p>
      <w:pPr>
        <w:pStyle w:val="TextBody"/>
        <w:bidi w:val="0"/>
        <w:spacing w:lineRule="auto" w:line="288" w:before="0" w:after="200"/>
        <w:jc w:val="both"/>
        <w:rPr/>
      </w:pPr>
      <w:r>
        <w:rPr>
          <w:rFonts w:ascii="Times New Roman;serif" w:hAnsi="Times New Roman;serif"/>
          <w:b/>
          <w:i/>
          <w:color w:val="000000"/>
          <w:sz w:val="20"/>
        </w:rPr>
        <w:t>ASC -</w:t>
      </w:r>
      <w:r>
        <w:rPr>
          <w:color w:val="000000"/>
        </w:rPr>
        <w:t xml:space="preserve"> </w:t>
      </w:r>
      <w:r>
        <w:rPr>
          <w:rFonts w:ascii="Times New Roman;serif" w:hAnsi="Times New Roman;serif"/>
          <w:b w:val="false"/>
          <w:color w:val="000000"/>
          <w:sz w:val="20"/>
        </w:rPr>
        <w:t>Accounting Standards Codification</w:t>
      </w:r>
    </w:p>
    <w:p>
      <w:pPr>
        <w:pStyle w:val="TextBody"/>
        <w:bidi w:val="0"/>
        <w:spacing w:lineRule="auto" w:line="288" w:before="0" w:after="200"/>
        <w:jc w:val="both"/>
        <w:rPr/>
      </w:pPr>
      <w:r>
        <w:rPr>
          <w:rFonts w:ascii="Times New Roman;serif" w:hAnsi="Times New Roman;serif"/>
          <w:b/>
          <w:i/>
          <w:color w:val="000000"/>
          <w:sz w:val="20"/>
        </w:rPr>
        <w:t>ASC 606</w:t>
      </w:r>
      <w:r>
        <w:rPr>
          <w:color w:val="000000"/>
        </w:rPr>
        <w:t xml:space="preserve"> </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ASC 606, “Revenue from Contracts with Customers”</w:t>
      </w:r>
    </w:p>
    <w:p>
      <w:pPr>
        <w:pStyle w:val="TextBody"/>
        <w:bidi w:val="0"/>
        <w:spacing w:lineRule="auto" w:line="288" w:before="0" w:after="200"/>
        <w:jc w:val="both"/>
        <w:rPr/>
      </w:pPr>
      <w:r>
        <w:rPr>
          <w:rFonts w:ascii="Times New Roman;serif" w:hAnsi="Times New Roman;serif"/>
          <w:b/>
          <w:i/>
          <w:color w:val="000000"/>
          <w:sz w:val="20"/>
        </w:rPr>
        <w:t xml:space="preserve">ASU - </w:t>
      </w:r>
      <w:r>
        <w:rPr>
          <w:rFonts w:ascii="Times New Roman;serif" w:hAnsi="Times New Roman;serif"/>
          <w:b w:val="false"/>
          <w:color w:val="000000"/>
          <w:sz w:val="20"/>
        </w:rPr>
        <w:t>Accounting Standards Update</w:t>
      </w:r>
    </w:p>
    <w:p>
      <w:pPr>
        <w:pStyle w:val="TextBody"/>
        <w:bidi w:val="0"/>
        <w:spacing w:lineRule="auto" w:line="288" w:before="0" w:after="200"/>
        <w:jc w:val="both"/>
        <w:rPr/>
      </w:pPr>
      <w:r>
        <w:rPr>
          <w:rFonts w:ascii="Times New Roman;serif" w:hAnsi="Times New Roman;serif"/>
          <w:b/>
          <w:i/>
          <w:color w:val="000000"/>
          <w:sz w:val="20"/>
        </w:rPr>
        <w:t>Bcf -</w:t>
      </w:r>
      <w:r>
        <w:rPr>
          <w:color w:val="000000"/>
        </w:rPr>
        <w:t xml:space="preserve"> </w:t>
      </w:r>
      <w:r>
        <w:rPr>
          <w:rFonts w:ascii="Times New Roman;serif" w:hAnsi="Times New Roman;serif"/>
          <w:b w:val="false"/>
          <w:color w:val="000000"/>
          <w:sz w:val="20"/>
        </w:rPr>
        <w:t>Billions of cubic feet</w:t>
      </w:r>
    </w:p>
    <w:p>
      <w:pPr>
        <w:pStyle w:val="TextBody"/>
        <w:bidi w:val="0"/>
        <w:spacing w:lineRule="auto" w:line="288" w:before="0" w:after="200"/>
        <w:jc w:val="both"/>
        <w:rPr/>
      </w:pPr>
      <w:r>
        <w:rPr>
          <w:rFonts w:ascii="Times New Roman;serif" w:hAnsi="Times New Roman;serif"/>
          <w:b/>
          <w:i/>
          <w:color w:val="000000"/>
          <w:sz w:val="20"/>
        </w:rPr>
        <w:t>COA -</w:t>
      </w:r>
      <w:r>
        <w:rPr>
          <w:color w:val="000000"/>
        </w:rPr>
        <w:t xml:space="preserve"> </w:t>
      </w:r>
      <w:r>
        <w:rPr>
          <w:rFonts w:ascii="Times New Roman;serif" w:hAnsi="Times New Roman;serif"/>
          <w:b w:val="false"/>
          <w:color w:val="000000"/>
          <w:sz w:val="20"/>
        </w:rPr>
        <w:t>Consent Order and Agreement</w:t>
      </w:r>
    </w:p>
    <w:p>
      <w:pPr>
        <w:pStyle w:val="TextBody"/>
        <w:bidi w:val="0"/>
        <w:spacing w:lineRule="auto" w:line="288" w:before="0" w:after="200"/>
        <w:jc w:val="both"/>
        <w:rPr/>
      </w:pPr>
      <w:r>
        <w:rPr>
          <w:rFonts w:ascii="Times New Roman;serif" w:hAnsi="Times New Roman;serif"/>
          <w:b/>
          <w:i/>
          <w:color w:val="000000"/>
          <w:sz w:val="20"/>
        </w:rPr>
        <w:t>CODM -</w:t>
      </w:r>
      <w:r>
        <w:rPr>
          <w:color w:val="000000"/>
        </w:rPr>
        <w:t xml:space="preserve"> </w:t>
      </w:r>
      <w:r>
        <w:rPr>
          <w:rFonts w:ascii="Times New Roman;serif" w:hAnsi="Times New Roman;serif"/>
          <w:b w:val="false"/>
          <w:color w:val="000000"/>
          <w:sz w:val="20"/>
        </w:rPr>
        <w:t>Chief Operating Decision Maker as defined in ASC 280, “Segment Reporting”</w:t>
      </w:r>
    </w:p>
    <w:p>
      <w:pPr>
        <w:pStyle w:val="TextBody"/>
        <w:bidi w:val="0"/>
        <w:spacing w:lineRule="auto" w:line="288" w:before="0" w:after="200"/>
        <w:jc w:val="both"/>
        <w:rPr/>
      </w:pPr>
      <w:r>
        <w:rPr>
          <w:rFonts w:ascii="Times New Roman;serif" w:hAnsi="Times New Roman;serif"/>
          <w:b/>
          <w:i/>
          <w:color w:val="000000"/>
          <w:sz w:val="20"/>
        </w:rPr>
        <w:t xml:space="preserve">Common Stock - </w:t>
      </w:r>
      <w:r>
        <w:rPr>
          <w:rFonts w:ascii="Times New Roman;serif" w:hAnsi="Times New Roman;serif"/>
          <w:b w:val="false"/>
          <w:color w:val="000000"/>
          <w:sz w:val="20"/>
        </w:rPr>
        <w:t>Shares of UGI common stock</w:t>
      </w:r>
    </w:p>
    <w:p>
      <w:pPr>
        <w:pStyle w:val="TextBody"/>
        <w:bidi w:val="0"/>
        <w:spacing w:lineRule="auto" w:line="288" w:before="0" w:after="200"/>
        <w:jc w:val="both"/>
        <w:rPr/>
      </w:pPr>
      <w:r>
        <w:rPr>
          <w:rFonts w:ascii="Times New Roman;serif" w:hAnsi="Times New Roman;serif"/>
          <w:b/>
          <w:i/>
          <w:color w:val="000000"/>
          <w:sz w:val="20"/>
        </w:rPr>
        <w:t>DS -</w:t>
      </w:r>
      <w:r>
        <w:rPr>
          <w:color w:val="000000"/>
        </w:rPr>
        <w:t xml:space="preserve"> </w:t>
      </w:r>
      <w:r>
        <w:rPr>
          <w:rFonts w:ascii="Times New Roman;serif" w:hAnsi="Times New Roman;serif"/>
          <w:b w:val="false"/>
          <w:color w:val="000000"/>
          <w:sz w:val="20"/>
        </w:rPr>
        <w:t>Default service</w:t>
      </w:r>
    </w:p>
    <w:p>
      <w:pPr>
        <w:pStyle w:val="TextBody"/>
        <w:bidi w:val="0"/>
        <w:spacing w:lineRule="auto" w:line="256" w:before="0" w:after="200"/>
        <w:jc w:val="both"/>
        <w:rPr/>
      </w:pPr>
      <w:r>
        <w:rPr>
          <w:rFonts w:ascii="Times New Roman;serif" w:hAnsi="Times New Roman;serif"/>
          <w:b/>
          <w:i/>
          <w:color w:val="000000"/>
          <w:sz w:val="20"/>
        </w:rPr>
        <w:t>Exchange Act -</w:t>
      </w:r>
      <w:r>
        <w:rPr>
          <w:color w:val="000000"/>
        </w:rPr>
        <w:t xml:space="preserve"> </w:t>
      </w:r>
      <w:r>
        <w:rPr>
          <w:rFonts w:ascii="Times New Roman;serif" w:hAnsi="Times New Roman;serif"/>
          <w:b w:val="false"/>
          <w:color w:val="000000"/>
          <w:sz w:val="20"/>
        </w:rPr>
        <w:t>Securities Exchange Act of 1934, as amended</w:t>
      </w:r>
    </w:p>
    <w:p>
      <w:pPr>
        <w:pStyle w:val="TextBody"/>
        <w:bidi w:val="0"/>
        <w:spacing w:lineRule="auto" w:line="288" w:before="0" w:after="200"/>
        <w:jc w:val="both"/>
        <w:rPr/>
      </w:pPr>
      <w:r>
        <w:rPr>
          <w:rFonts w:ascii="Times New Roman;serif" w:hAnsi="Times New Roman;serif"/>
          <w:b/>
          <w:i/>
          <w:color w:val="000000"/>
          <w:sz w:val="20"/>
        </w:rPr>
        <w:t>FASB -</w:t>
      </w:r>
      <w:r>
        <w:rPr>
          <w:color w:val="000000"/>
        </w:rPr>
        <w:t xml:space="preserve"> </w:t>
      </w:r>
      <w:r>
        <w:rPr>
          <w:rFonts w:ascii="Times New Roman;serif" w:hAnsi="Times New Roman;serif"/>
          <w:b w:val="false"/>
          <w:color w:val="000000"/>
          <w:sz w:val="20"/>
        </w:rPr>
        <w:t>Financial Accounting Standards Board</w:t>
      </w:r>
    </w:p>
    <w:p>
      <w:pPr>
        <w:pStyle w:val="TextBody"/>
        <w:bidi w:val="0"/>
        <w:spacing w:lineRule="auto" w:line="288" w:before="0" w:after="200"/>
        <w:jc w:val="both"/>
        <w:rPr/>
      </w:pPr>
      <w:r>
        <w:rPr>
          <w:rFonts w:ascii="Times New Roman;serif" w:hAnsi="Times New Roman;serif"/>
          <w:b/>
          <w:i/>
          <w:color w:val="000000"/>
          <w:sz w:val="20"/>
        </w:rPr>
        <w:t>FDIC -</w:t>
      </w:r>
      <w:r>
        <w:rPr>
          <w:color w:val="000000"/>
        </w:rPr>
        <w:t xml:space="preserve"> </w:t>
      </w:r>
      <w:r>
        <w:rPr>
          <w:rFonts w:ascii="Times New Roman;serif" w:hAnsi="Times New Roman;serif"/>
          <w:b w:val="false"/>
          <w:color w:val="000000"/>
          <w:sz w:val="20"/>
        </w:rPr>
        <w:t>Federal Deposit Insurance Corporation</w:t>
      </w:r>
    </w:p>
    <w:p>
      <w:pPr>
        <w:pStyle w:val="TextBody"/>
        <w:bidi w:val="0"/>
        <w:spacing w:lineRule="auto" w:line="288" w:before="0" w:after="200"/>
        <w:jc w:val="both"/>
        <w:rPr/>
      </w:pPr>
      <w:r>
        <w:rPr>
          <w:rFonts w:ascii="Times New Roman;serif" w:hAnsi="Times New Roman;serif"/>
          <w:b/>
          <w:i/>
          <w:color w:val="000000"/>
          <w:sz w:val="20"/>
        </w:rPr>
        <w:t>FERC -</w:t>
      </w:r>
      <w:r>
        <w:rPr>
          <w:color w:val="000000"/>
        </w:rPr>
        <w:t xml:space="preserve"> </w:t>
      </w:r>
      <w:r>
        <w:rPr>
          <w:rFonts w:ascii="Times New Roman;serif" w:hAnsi="Times New Roman;serif"/>
          <w:b w:val="false"/>
          <w:color w:val="000000"/>
          <w:sz w:val="20"/>
        </w:rPr>
        <w:t>Federal Energy Regulatory Commission</w:t>
      </w:r>
    </w:p>
    <w:p>
      <w:pPr>
        <w:pStyle w:val="TextBody"/>
        <w:bidi w:val="0"/>
        <w:spacing w:lineRule="auto" w:line="288" w:before="0" w:after="200"/>
        <w:jc w:val="both"/>
        <w:rPr/>
      </w:pPr>
      <w:r>
        <w:rPr>
          <w:rFonts w:ascii="Times New Roman;serif" w:hAnsi="Times New Roman;serif"/>
          <w:b/>
          <w:i/>
          <w:color w:val="000000"/>
          <w:sz w:val="20"/>
        </w:rPr>
        <w:t>Fiscal 2024</w:t>
      </w:r>
      <w:r>
        <w:rPr>
          <w:color w:val="000000"/>
        </w:rPr>
        <w:t xml:space="preserve"> </w:t>
      </w:r>
      <w:r>
        <w:rPr>
          <w:rFonts w:ascii="Times New Roman;serif" w:hAnsi="Times New Roman;serif"/>
          <w:b w:val="false"/>
          <w:color w:val="000000"/>
          <w:sz w:val="20"/>
        </w:rPr>
        <w:t>- The fiscal year ended September 30, 2024</w:t>
      </w:r>
    </w:p>
    <w:p>
      <w:pPr>
        <w:pStyle w:val="TextBody"/>
        <w:bidi w:val="0"/>
        <w:spacing w:lineRule="auto" w:line="288" w:before="0" w:after="200"/>
        <w:jc w:val="both"/>
        <w:rPr/>
      </w:pPr>
      <w:r>
        <w:rPr>
          <w:rFonts w:ascii="Times New Roman;serif" w:hAnsi="Times New Roman;serif"/>
          <w:b/>
          <w:i/>
          <w:color w:val="000000"/>
          <w:sz w:val="20"/>
        </w:rPr>
        <w:t>Fiscal 2025</w:t>
      </w:r>
      <w:r>
        <w:rPr>
          <w:color w:val="000000"/>
        </w:rPr>
        <w:t xml:space="preserve"> </w:t>
      </w:r>
      <w:r>
        <w:rPr>
          <w:rFonts w:ascii="Times New Roman;serif" w:hAnsi="Times New Roman;serif"/>
          <w:b w:val="false"/>
          <w:color w:val="000000"/>
          <w:sz w:val="20"/>
        </w:rPr>
        <w:t>- The fiscal year ended September 30, 2025</w:t>
      </w:r>
    </w:p>
    <w:p>
      <w:pPr>
        <w:pStyle w:val="TextBody"/>
        <w:bidi w:val="0"/>
        <w:spacing w:lineRule="auto" w:line="288" w:before="0" w:after="200"/>
        <w:jc w:val="both"/>
        <w:rPr/>
      </w:pPr>
      <w:r>
        <w:rPr>
          <w:rFonts w:ascii="Times New Roman;serif" w:hAnsi="Times New Roman;serif"/>
          <w:b/>
          <w:i/>
          <w:color w:val="000000"/>
          <w:sz w:val="20"/>
        </w:rPr>
        <w:t>Fiscal 2026</w:t>
      </w:r>
      <w:r>
        <w:rPr>
          <w:color w:val="000000"/>
        </w:rPr>
        <w:t xml:space="preserve"> </w:t>
      </w:r>
      <w:r>
        <w:rPr>
          <w:rFonts w:ascii="Times New Roman;serif" w:hAnsi="Times New Roman;serif"/>
          <w:b w:val="false"/>
          <w:color w:val="000000"/>
          <w:sz w:val="20"/>
        </w:rPr>
        <w:t>- The fiscal year ending September 30, 2026</w:t>
      </w:r>
    </w:p>
    <w:p>
      <w:pPr>
        <w:pStyle w:val="TextBody"/>
        <w:bidi w:val="0"/>
        <w:spacing w:lineRule="auto" w:line="288" w:before="0" w:after="200"/>
        <w:jc w:val="both"/>
        <w:rPr/>
      </w:pPr>
      <w:r>
        <w:rPr>
          <w:rFonts w:ascii="Times New Roman;serif" w:hAnsi="Times New Roman;serif"/>
          <w:b/>
          <w:i/>
          <w:color w:val="000000"/>
          <w:sz w:val="20"/>
        </w:rPr>
        <w:t>Fiscal 2027</w:t>
      </w:r>
      <w:r>
        <w:rPr>
          <w:color w:val="000000"/>
        </w:rPr>
        <w:t xml:space="preserve"> </w:t>
      </w:r>
      <w:r>
        <w:rPr>
          <w:rFonts w:ascii="Times New Roman;serif" w:hAnsi="Times New Roman;serif"/>
          <w:b w:val="false"/>
          <w:color w:val="000000"/>
          <w:sz w:val="20"/>
        </w:rPr>
        <w:t>- The fiscal year ending September 30, 2027</w:t>
      </w:r>
    </w:p>
    <w:p>
      <w:pPr>
        <w:pStyle w:val="TextBody"/>
        <w:bidi w:val="0"/>
        <w:spacing w:lineRule="auto" w:line="288" w:before="0" w:after="200"/>
        <w:jc w:val="both"/>
        <w:rPr/>
      </w:pPr>
      <w:r>
        <w:rPr>
          <w:rFonts w:ascii="Times New Roman;serif" w:hAnsi="Times New Roman;serif"/>
          <w:b/>
          <w:i/>
          <w:color w:val="000000"/>
          <w:sz w:val="20"/>
        </w:rPr>
        <w:t>Fiscal 2028</w:t>
      </w:r>
      <w:r>
        <w:rPr>
          <w:color w:val="000000"/>
        </w:rPr>
        <w:t xml:space="preserve"> </w:t>
      </w:r>
      <w:r>
        <w:rPr>
          <w:rFonts w:ascii="Times New Roman;serif" w:hAnsi="Times New Roman;serif"/>
          <w:b w:val="false"/>
          <w:color w:val="000000"/>
          <w:sz w:val="20"/>
        </w:rPr>
        <w:t>- The fiscal year ending September 30, 2028</w:t>
      </w:r>
    </w:p>
    <w:p>
      <w:pPr>
        <w:pStyle w:val="TextBody"/>
        <w:bidi w:val="0"/>
        <w:spacing w:lineRule="auto" w:line="288" w:before="0" w:after="200"/>
        <w:jc w:val="both"/>
        <w:rPr/>
      </w:pPr>
      <w:r>
        <w:rPr>
          <w:rFonts w:ascii="Times New Roman;serif" w:hAnsi="Times New Roman;serif"/>
          <w:b/>
          <w:i/>
          <w:color w:val="000000"/>
          <w:sz w:val="20"/>
        </w:rPr>
        <w:t>Fiscal 2029</w:t>
      </w:r>
      <w:r>
        <w:rPr>
          <w:color w:val="000000"/>
        </w:rPr>
        <w:t xml:space="preserve"> </w:t>
      </w:r>
      <w:r>
        <w:rPr>
          <w:rFonts w:ascii="Times New Roman;serif" w:hAnsi="Times New Roman;serif"/>
          <w:b w:val="false"/>
          <w:color w:val="000000"/>
          <w:sz w:val="20"/>
        </w:rPr>
        <w:t>- The fiscal year ending September 30, 2029</w:t>
      </w:r>
    </w:p>
    <w:p>
      <w:pPr>
        <w:pStyle w:val="TextBody"/>
        <w:bidi w:val="0"/>
        <w:spacing w:lineRule="auto" w:line="288" w:before="0" w:after="200"/>
        <w:jc w:val="both"/>
        <w:rPr/>
      </w:pPr>
      <w:r>
        <w:rPr>
          <w:rFonts w:ascii="Times New Roman;serif" w:hAnsi="Times New Roman;serif"/>
          <w:b/>
          <w:i/>
          <w:color w:val="000000"/>
          <w:sz w:val="20"/>
        </w:rPr>
        <w:t>GAAP -</w:t>
      </w:r>
      <w:r>
        <w:rPr>
          <w:color w:val="000000"/>
        </w:rPr>
        <w:t xml:space="preserve"> </w:t>
      </w:r>
      <w:r>
        <w:rPr>
          <w:rFonts w:ascii="Times New Roman;serif" w:hAnsi="Times New Roman;serif"/>
          <w:b w:val="false"/>
          <w:color w:val="000000"/>
          <w:sz w:val="20"/>
        </w:rPr>
        <w:t>U.S. generally accepted accounting principles</w:t>
      </w:r>
    </w:p>
    <w:p>
      <w:pPr>
        <w:pStyle w:val="TextBody"/>
        <w:bidi w:val="0"/>
        <w:spacing w:lineRule="auto" w:line="288" w:before="0" w:after="200"/>
        <w:jc w:val="both"/>
        <w:rPr/>
      </w:pPr>
      <w:r>
        <w:rPr>
          <w:rFonts w:ascii="Times New Roman;serif" w:hAnsi="Times New Roman;serif"/>
          <w:b/>
          <w:i/>
          <w:color w:val="000000"/>
          <w:sz w:val="20"/>
        </w:rPr>
        <w:t>Gwh -</w:t>
      </w:r>
      <w:r>
        <w:rPr>
          <w:color w:val="000000"/>
        </w:rPr>
        <w:t xml:space="preserve"> </w:t>
      </w:r>
      <w:r>
        <w:rPr>
          <w:rFonts w:ascii="Times New Roman;serif" w:hAnsi="Times New Roman;serif"/>
          <w:b w:val="false"/>
          <w:color w:val="000000"/>
          <w:sz w:val="20"/>
        </w:rPr>
        <w:t>Millions of kilowatt hours</w:t>
      </w:r>
    </w:p>
    <w:p>
      <w:pPr>
        <w:pStyle w:val="TextBody"/>
        <w:bidi w:val="0"/>
        <w:spacing w:lineRule="auto" w:line="288" w:before="0" w:after="200"/>
        <w:jc w:val="both"/>
        <w:rPr/>
      </w:pPr>
      <w:r>
        <w:rPr>
          <w:rFonts w:ascii="Times New Roman;serif" w:hAnsi="Times New Roman;serif"/>
          <w:b/>
          <w:i/>
          <w:color w:val="000000"/>
          <w:sz w:val="20"/>
        </w:rPr>
        <w:t>ICE -</w:t>
      </w:r>
      <w:r>
        <w:rPr>
          <w:color w:val="000000"/>
        </w:rPr>
        <w:t xml:space="preserve"> </w:t>
      </w:r>
      <w:r>
        <w:rPr>
          <w:rFonts w:ascii="Times New Roman;serif" w:hAnsi="Times New Roman;serif"/>
          <w:b w:val="false"/>
          <w:color w:val="000000"/>
          <w:sz w:val="20"/>
        </w:rPr>
        <w:t>Intercontinental Exchange</w:t>
      </w:r>
    </w:p>
    <w:p>
      <w:pPr>
        <w:pStyle w:val="TextBody"/>
        <w:bidi w:val="0"/>
        <w:spacing w:lineRule="auto" w:line="288" w:before="0" w:after="200"/>
        <w:jc w:val="both"/>
        <w:rPr/>
      </w:pPr>
      <w:r>
        <w:rPr>
          <w:rFonts w:ascii="Times New Roman;serif" w:hAnsi="Times New Roman;serif"/>
          <w:b/>
          <w:i/>
          <w:color w:val="000000"/>
          <w:sz w:val="20"/>
        </w:rPr>
        <w:t>IREP</w:t>
      </w:r>
      <w:r>
        <w:rPr>
          <w:color w:val="000000"/>
        </w:rPr>
        <w:t xml:space="preserve"> </w:t>
      </w:r>
      <w:r>
        <w:rPr>
          <w:rFonts w:ascii="Times New Roman;serif" w:hAnsi="Times New Roman;serif"/>
          <w:b w:val="false"/>
          <w:color w:val="000000"/>
          <w:sz w:val="20"/>
        </w:rPr>
        <w:t>- Infrastructure Replacement and Expansion Plan</w:t>
      </w:r>
    </w:p>
    <w:p>
      <w:pPr>
        <w:pStyle w:val="TextBody"/>
        <w:bidi w:val="0"/>
        <w:spacing w:lineRule="auto" w:line="288" w:before="0" w:after="200"/>
        <w:jc w:val="both"/>
        <w:rPr/>
      </w:pPr>
      <w:r>
        <w:rPr>
          <w:rFonts w:ascii="Times New Roman;serif" w:hAnsi="Times New Roman;serif"/>
          <w:b/>
          <w:i/>
          <w:color w:val="000000"/>
          <w:sz w:val="20"/>
        </w:rPr>
        <w:t>IRPA -</w:t>
      </w:r>
      <w:r>
        <w:rPr>
          <w:color w:val="000000"/>
        </w:rPr>
        <w:t xml:space="preserve"> </w:t>
      </w:r>
      <w:r>
        <w:rPr>
          <w:rFonts w:ascii="Times New Roman;serif" w:hAnsi="Times New Roman;serif"/>
          <w:b w:val="false"/>
          <w:color w:val="000000"/>
          <w:sz w:val="20"/>
        </w:rPr>
        <w:t>Interest rate protection agreement</w:t>
      </w:r>
    </w:p>
    <w:p>
      <w:pPr>
        <w:pStyle w:val="TextBody"/>
        <w:bidi w:val="0"/>
        <w:spacing w:lineRule="auto" w:line="288" w:before="0" w:after="200"/>
        <w:jc w:val="both"/>
        <w:rPr/>
      </w:pPr>
      <w:r>
        <w:rPr>
          <w:rFonts w:ascii="Times New Roman;serif" w:hAnsi="Times New Roman;serif"/>
          <w:b/>
          <w:i/>
          <w:color w:val="000000"/>
          <w:sz w:val="20"/>
        </w:rPr>
        <w:t>LNG -</w:t>
      </w:r>
      <w:r>
        <w:rPr>
          <w:color w:val="000000"/>
        </w:rPr>
        <w:t xml:space="preserve"> </w:t>
      </w:r>
      <w:r>
        <w:rPr>
          <w:rFonts w:ascii="Times New Roman;serif" w:hAnsi="Times New Roman;serif"/>
          <w:b w:val="false"/>
          <w:color w:val="000000"/>
          <w:sz w:val="20"/>
        </w:rPr>
        <w:t>Liquefied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i/>
          <w:color w:val="000000"/>
          <w:sz w:val="20"/>
        </w:rPr>
        <w:t>LPG -</w:t>
      </w:r>
      <w:r>
        <w:rPr>
          <w:color w:val="000000"/>
        </w:rPr>
        <w:t xml:space="preserve"> </w:t>
      </w:r>
      <w:r>
        <w:rPr>
          <w:rFonts w:ascii="Times New Roman;serif" w:hAnsi="Times New Roman;serif"/>
          <w:b w:val="false"/>
          <w:color w:val="000000"/>
          <w:sz w:val="20"/>
        </w:rPr>
        <w:t>Liquefied petroleum gas</w:t>
      </w:r>
    </w:p>
    <w:p>
      <w:pPr>
        <w:pStyle w:val="TextBody"/>
        <w:bidi w:val="0"/>
        <w:spacing w:lineRule="auto" w:line="288" w:before="0" w:after="200"/>
        <w:jc w:val="both"/>
        <w:rPr/>
      </w:pPr>
      <w:r>
        <w:rPr>
          <w:rFonts w:ascii="Times New Roman;serif" w:hAnsi="Times New Roman;serif"/>
          <w:b/>
          <w:i/>
          <w:color w:val="000000"/>
          <w:sz w:val="20"/>
        </w:rPr>
        <w:t xml:space="preserve">MDPSC - </w:t>
      </w:r>
      <w:r>
        <w:rPr>
          <w:rFonts w:ascii="Times New Roman;serif" w:hAnsi="Times New Roman;serif"/>
          <w:b w:val="false"/>
          <w:color w:val="000000"/>
          <w:sz w:val="20"/>
        </w:rPr>
        <w:t>Maryland Public Service Commission</w:t>
      </w:r>
    </w:p>
    <w:p>
      <w:pPr>
        <w:pStyle w:val="TextBody"/>
        <w:bidi w:val="0"/>
        <w:spacing w:lineRule="auto" w:line="288" w:before="0" w:after="200"/>
        <w:jc w:val="both"/>
        <w:rPr/>
      </w:pPr>
      <w:r>
        <w:rPr>
          <w:rFonts w:ascii="Times New Roman;serif" w:hAnsi="Times New Roman;serif"/>
          <w:b/>
          <w:i/>
          <w:color w:val="000000"/>
          <w:sz w:val="20"/>
        </w:rPr>
        <w:t xml:space="preserve">MGP - </w:t>
      </w:r>
      <w:r>
        <w:rPr>
          <w:rFonts w:ascii="Times New Roman;serif" w:hAnsi="Times New Roman;serif"/>
          <w:b w:val="false"/>
          <w:color w:val="000000"/>
          <w:sz w:val="20"/>
        </w:rPr>
        <w:t>Manufactured gas plant</w:t>
      </w:r>
    </w:p>
    <w:p>
      <w:pPr>
        <w:pStyle w:val="TextBody"/>
        <w:bidi w:val="0"/>
        <w:spacing w:lineRule="auto" w:line="268" w:before="0" w:after="200"/>
        <w:jc w:val="both"/>
        <w:rPr/>
      </w:pPr>
      <w:r>
        <w:rPr>
          <w:rFonts w:ascii="Times New Roman;serif" w:hAnsi="Times New Roman;serif"/>
          <w:b/>
          <w:i/>
          <w:color w:val="000000"/>
          <w:sz w:val="20"/>
        </w:rPr>
        <w:t>NOAA -</w:t>
      </w:r>
      <w:r>
        <w:rPr>
          <w:color w:val="000000"/>
        </w:rPr>
        <w:t xml:space="preserve"> </w:t>
      </w:r>
      <w:r>
        <w:rPr>
          <w:rFonts w:ascii="Times New Roman;serif" w:hAnsi="Times New Roman;serif"/>
          <w:b w:val="false"/>
          <w:color w:val="000000"/>
          <w:sz w:val="20"/>
        </w:rPr>
        <w:t>National Oceanic and Atmospheric Administration</w:t>
      </w:r>
    </w:p>
    <w:p>
      <w:pPr>
        <w:pStyle w:val="TextBody"/>
        <w:bidi w:val="0"/>
        <w:spacing w:lineRule="auto" w:line="288" w:before="0" w:after="200"/>
        <w:jc w:val="both"/>
        <w:rPr/>
      </w:pPr>
      <w:r>
        <w:rPr>
          <w:rFonts w:ascii="Times New Roman;serif" w:hAnsi="Times New Roman;serif"/>
          <w:b/>
          <w:i/>
          <w:color w:val="000000"/>
          <w:sz w:val="20"/>
        </w:rPr>
        <w:t>NPNS -</w:t>
      </w:r>
      <w:r>
        <w:rPr>
          <w:color w:val="000000"/>
        </w:rPr>
        <w:t xml:space="preserve"> </w:t>
      </w:r>
      <w:r>
        <w:rPr>
          <w:rFonts w:ascii="Times New Roman;serif" w:hAnsi="Times New Roman;serif"/>
          <w:b w:val="false"/>
          <w:color w:val="000000"/>
          <w:sz w:val="20"/>
        </w:rPr>
        <w:t>Normal purchase and normal sale</w:t>
      </w:r>
    </w:p>
    <w:p>
      <w:pPr>
        <w:pStyle w:val="TextBody"/>
        <w:bidi w:val="0"/>
        <w:spacing w:lineRule="auto" w:line="288" w:before="0" w:after="200"/>
        <w:jc w:val="left"/>
        <w:rPr/>
      </w:pPr>
      <w:r>
        <w:rPr>
          <w:rFonts w:ascii="Times New Roman;serif" w:hAnsi="Times New Roman;serif"/>
          <w:b/>
          <w:i/>
          <w:color w:val="000000"/>
          <w:sz w:val="20"/>
        </w:rPr>
        <w:t>NTSB -</w:t>
      </w:r>
      <w:r>
        <w:rPr>
          <w:color w:val="000000"/>
        </w:rPr>
        <w:t xml:space="preserve"> </w:t>
      </w:r>
      <w:r>
        <w:rPr>
          <w:rFonts w:ascii="Times New Roman;serif" w:hAnsi="Times New Roman;serif"/>
          <w:b w:val="false"/>
          <w:color w:val="000000"/>
          <w:sz w:val="20"/>
        </w:rPr>
        <w:t xml:space="preserve">National Transportation Safety Board </w:t>
      </w:r>
    </w:p>
    <w:p>
      <w:pPr>
        <w:pStyle w:val="TextBody"/>
        <w:bidi w:val="0"/>
        <w:spacing w:lineRule="auto" w:line="288" w:before="0" w:after="200"/>
        <w:jc w:val="both"/>
        <w:rPr/>
      </w:pPr>
      <w:r>
        <w:rPr>
          <w:rFonts w:ascii="Times New Roman;serif" w:hAnsi="Times New Roman;serif"/>
          <w:b/>
          <w:i/>
          <w:color w:val="000000"/>
          <w:sz w:val="20"/>
        </w:rPr>
        <w:t xml:space="preserve">NYDEC - </w:t>
      </w:r>
      <w:r>
        <w:rPr>
          <w:rFonts w:ascii="Times New Roman;serif" w:hAnsi="Times New Roman;serif"/>
          <w:b w:val="false"/>
          <w:color w:val="000000"/>
          <w:sz w:val="20"/>
        </w:rPr>
        <w:t>New York State Department of Environmental Conservation</w:t>
      </w:r>
    </w:p>
    <w:p>
      <w:pPr>
        <w:pStyle w:val="TextBody"/>
        <w:bidi w:val="0"/>
        <w:spacing w:lineRule="auto" w:line="288" w:before="0" w:after="200"/>
        <w:jc w:val="both"/>
        <w:rPr/>
      </w:pPr>
      <w:r>
        <w:rPr>
          <w:rFonts w:ascii="Times New Roman;serif" w:hAnsi="Times New Roman;serif"/>
          <w:b/>
          <w:i/>
          <w:color w:val="000000"/>
          <w:sz w:val="20"/>
        </w:rPr>
        <w:t>NYMEX -</w:t>
      </w:r>
      <w:r>
        <w:rPr>
          <w:color w:val="000000"/>
        </w:rPr>
        <w:t xml:space="preserve"> </w:t>
      </w:r>
      <w:r>
        <w:rPr>
          <w:rFonts w:ascii="Times New Roman;serif" w:hAnsi="Times New Roman;serif"/>
          <w:b w:val="false"/>
          <w:color w:val="000000"/>
          <w:sz w:val="20"/>
        </w:rPr>
        <w:t>New York Mercantile Exchange</w:t>
      </w:r>
    </w:p>
    <w:p>
      <w:pPr>
        <w:pStyle w:val="TextBody"/>
        <w:bidi w:val="0"/>
        <w:spacing w:lineRule="auto" w:line="288" w:before="0" w:after="200"/>
        <w:jc w:val="both"/>
        <w:rPr/>
      </w:pPr>
      <w:r>
        <w:rPr>
          <w:rFonts w:ascii="Times New Roman;serif" w:hAnsi="Times New Roman;serif"/>
          <w:b/>
          <w:i/>
          <w:color w:val="000000"/>
          <w:sz w:val="20"/>
        </w:rPr>
        <w:t>OSHA -</w:t>
      </w:r>
      <w:r>
        <w:rPr>
          <w:color w:val="000000"/>
        </w:rPr>
        <w:t xml:space="preserve"> </w:t>
      </w:r>
      <w:r>
        <w:rPr>
          <w:rFonts w:ascii="Times New Roman;serif" w:hAnsi="Times New Roman;serif"/>
          <w:b w:val="false"/>
          <w:color w:val="000000"/>
          <w:sz w:val="20"/>
        </w:rPr>
        <w:t xml:space="preserve">Occupational Safety and Health Administration </w:t>
      </w:r>
    </w:p>
    <w:p>
      <w:pPr>
        <w:pStyle w:val="TextBody"/>
        <w:bidi w:val="0"/>
        <w:spacing w:lineRule="auto" w:line="288" w:before="0" w:after="200"/>
        <w:jc w:val="both"/>
        <w:rPr/>
      </w:pPr>
      <w:r>
        <w:rPr>
          <w:rFonts w:ascii="Times New Roman;serif" w:hAnsi="Times New Roman;serif"/>
          <w:b/>
          <w:i/>
          <w:color w:val="000000"/>
          <w:sz w:val="20"/>
        </w:rPr>
        <w:t>PADEP -</w:t>
      </w:r>
      <w:r>
        <w:rPr>
          <w:color w:val="000000"/>
        </w:rPr>
        <w:t xml:space="preserve"> </w:t>
      </w:r>
      <w:r>
        <w:rPr>
          <w:rFonts w:ascii="Times New Roman;serif" w:hAnsi="Times New Roman;serif"/>
          <w:b w:val="false"/>
          <w:color w:val="000000"/>
          <w:sz w:val="20"/>
        </w:rPr>
        <w:t>Pennsylvania Department of Environmental Protection</w:t>
      </w:r>
    </w:p>
    <w:p>
      <w:pPr>
        <w:pStyle w:val="TextBody"/>
        <w:bidi w:val="0"/>
        <w:spacing w:lineRule="auto" w:line="288" w:before="0" w:after="200"/>
        <w:jc w:val="both"/>
        <w:rPr/>
      </w:pPr>
      <w:r>
        <w:rPr>
          <w:rFonts w:ascii="Times New Roman;serif" w:hAnsi="Times New Roman;serif"/>
          <w:b/>
          <w:i/>
          <w:color w:val="000000"/>
          <w:sz w:val="20"/>
        </w:rPr>
        <w:t>PAPUC -</w:t>
      </w:r>
      <w:r>
        <w:rPr>
          <w:color w:val="000000"/>
        </w:rPr>
        <w:t xml:space="preserve"> </w:t>
      </w:r>
      <w:r>
        <w:rPr>
          <w:rFonts w:ascii="Times New Roman;serif" w:hAnsi="Times New Roman;serif"/>
          <w:b w:val="false"/>
          <w:color w:val="000000"/>
          <w:sz w:val="20"/>
        </w:rPr>
        <w:t>Pennsylvania Public Utility Commission</w:t>
      </w:r>
    </w:p>
    <w:p>
      <w:pPr>
        <w:pStyle w:val="TextBody"/>
        <w:bidi w:val="0"/>
        <w:spacing w:lineRule="auto" w:line="288" w:before="0" w:after="200"/>
        <w:jc w:val="both"/>
        <w:rPr/>
      </w:pPr>
      <w:r>
        <w:rPr>
          <w:rFonts w:ascii="Times New Roman;serif" w:hAnsi="Times New Roman;serif"/>
          <w:b/>
          <w:i/>
          <w:color w:val="000000"/>
          <w:sz w:val="20"/>
        </w:rPr>
        <w:t>PGA</w:t>
      </w:r>
      <w:r>
        <w:rPr>
          <w:color w:val="000000"/>
        </w:rPr>
        <w:t xml:space="preserve"> </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Purchased gas adjustment</w:t>
      </w:r>
    </w:p>
    <w:p>
      <w:pPr>
        <w:pStyle w:val="TextBody"/>
        <w:bidi w:val="0"/>
        <w:spacing w:lineRule="auto" w:line="288" w:before="0" w:after="200"/>
        <w:jc w:val="both"/>
        <w:rPr/>
      </w:pPr>
      <w:r>
        <w:rPr>
          <w:rFonts w:ascii="Times New Roman;serif" w:hAnsi="Times New Roman;serif"/>
          <w:b/>
          <w:i/>
          <w:color w:val="000000"/>
          <w:sz w:val="20"/>
        </w:rPr>
        <w:t>PGC -</w:t>
      </w:r>
      <w:r>
        <w:rPr>
          <w:color w:val="000000"/>
        </w:rPr>
        <w:t xml:space="preserve"> </w:t>
      </w:r>
      <w:r>
        <w:rPr>
          <w:rFonts w:ascii="Times New Roman;serif" w:hAnsi="Times New Roman;serif"/>
          <w:b w:val="false"/>
          <w:color w:val="000000"/>
          <w:sz w:val="20"/>
        </w:rPr>
        <w:t>Purchased gas costs</w:t>
      </w:r>
    </w:p>
    <w:p>
      <w:pPr>
        <w:pStyle w:val="TextBody"/>
        <w:bidi w:val="0"/>
        <w:spacing w:lineRule="auto" w:line="288" w:before="0" w:after="200"/>
        <w:jc w:val="both"/>
        <w:rPr/>
      </w:pPr>
      <w:r>
        <w:rPr>
          <w:rFonts w:ascii="Times New Roman;serif" w:hAnsi="Times New Roman;serif"/>
          <w:b/>
          <w:i/>
          <w:color w:val="000000"/>
          <w:sz w:val="20"/>
        </w:rPr>
        <w:t xml:space="preserve">PRP - </w:t>
      </w:r>
      <w:r>
        <w:rPr>
          <w:rFonts w:ascii="Times New Roman;serif" w:hAnsi="Times New Roman;serif"/>
          <w:b w:val="false"/>
          <w:color w:val="000000"/>
          <w:sz w:val="20"/>
        </w:rPr>
        <w:t>Potentially responsible party</w:t>
      </w:r>
    </w:p>
    <w:p>
      <w:pPr>
        <w:pStyle w:val="TextBody"/>
        <w:bidi w:val="0"/>
        <w:spacing w:lineRule="auto" w:line="268" w:before="0" w:after="200"/>
        <w:jc w:val="both"/>
        <w:rPr/>
      </w:pPr>
      <w:r>
        <w:rPr>
          <w:rFonts w:ascii="Times New Roman;serif" w:hAnsi="Times New Roman;serif"/>
          <w:b/>
          <w:i/>
          <w:color w:val="000000"/>
          <w:sz w:val="20"/>
        </w:rPr>
        <w:t>Receivables Facility -</w:t>
      </w:r>
      <w:r>
        <w:rPr>
          <w:color w:val="000000"/>
        </w:rPr>
        <w:t xml:space="preserve"> </w:t>
      </w:r>
      <w:r>
        <w:rPr>
          <w:rFonts w:ascii="Times New Roman;serif" w:hAnsi="Times New Roman;serif"/>
          <w:b w:val="false"/>
          <w:color w:val="000000"/>
          <w:sz w:val="20"/>
        </w:rPr>
        <w:t>A receivables purchase facility of Energy Services with an issuer of receivables-backed commercial paper</w:t>
      </w:r>
    </w:p>
    <w:p>
      <w:pPr>
        <w:pStyle w:val="TextBody"/>
        <w:bidi w:val="0"/>
        <w:spacing w:lineRule="auto" w:line="288" w:before="0" w:after="200"/>
        <w:jc w:val="both"/>
        <w:rPr/>
      </w:pPr>
      <w:r>
        <w:rPr>
          <w:rFonts w:ascii="Times New Roman;serif" w:hAnsi="Times New Roman;serif"/>
          <w:b/>
          <w:i/>
          <w:color w:val="000000"/>
          <w:sz w:val="20"/>
        </w:rPr>
        <w:t>Retail core-market -</w:t>
      </w:r>
      <w:r>
        <w:rPr>
          <w:color w:val="000000"/>
        </w:rPr>
        <w:t xml:space="preserve"> </w:t>
      </w:r>
      <w:r>
        <w:rPr>
          <w:rFonts w:ascii="Times New Roman;serif" w:hAnsi="Times New Roman;serif"/>
          <w:b w:val="false"/>
          <w:color w:val="000000"/>
          <w:sz w:val="20"/>
        </w:rPr>
        <w:t>Comprises firm residential, commercial and industrial customers to whom Utilities has a statutory obligation to provide service that purchase their natural gas from Utilities</w:t>
      </w:r>
    </w:p>
    <w:p>
      <w:pPr>
        <w:pStyle w:val="TextBody"/>
        <w:bidi w:val="0"/>
        <w:spacing w:lineRule="auto" w:line="288" w:before="0" w:after="200"/>
        <w:jc w:val="both"/>
        <w:rPr/>
      </w:pPr>
      <w:r>
        <w:rPr>
          <w:rFonts w:ascii="Times New Roman;serif" w:hAnsi="Times New Roman;serif"/>
          <w:b/>
          <w:i/>
          <w:color w:val="000000"/>
          <w:sz w:val="20"/>
        </w:rPr>
        <w:t xml:space="preserve">RNG </w:t>
      </w:r>
      <w:r>
        <w:rPr>
          <w:rFonts w:ascii="Times New Roman;serif" w:hAnsi="Times New Roman;serif"/>
          <w:b w:val="false"/>
          <w:color w:val="000000"/>
          <w:sz w:val="20"/>
        </w:rPr>
        <w:t>- Renewable natural gas</w:t>
      </w:r>
    </w:p>
    <w:p>
      <w:pPr>
        <w:pStyle w:val="TextBody"/>
        <w:bidi w:val="0"/>
        <w:spacing w:lineRule="auto" w:line="288" w:before="0" w:after="200"/>
        <w:jc w:val="both"/>
        <w:rPr/>
      </w:pPr>
      <w:r>
        <w:rPr>
          <w:rFonts w:ascii="Times New Roman;serif" w:hAnsi="Times New Roman;serif"/>
          <w:b/>
          <w:i/>
          <w:color w:val="000000"/>
          <w:sz w:val="20"/>
        </w:rPr>
        <w:t xml:space="preserve">ROD - </w:t>
      </w:r>
      <w:r>
        <w:rPr>
          <w:rFonts w:ascii="Times New Roman;serif" w:hAnsi="Times New Roman;serif"/>
          <w:b w:val="false"/>
          <w:color w:val="000000"/>
          <w:sz w:val="20"/>
        </w:rPr>
        <w:t>Record of Decision</w:t>
      </w:r>
    </w:p>
    <w:p>
      <w:pPr>
        <w:pStyle w:val="TextBody"/>
        <w:bidi w:val="0"/>
        <w:spacing w:lineRule="auto" w:line="288" w:before="0" w:after="200"/>
        <w:jc w:val="both"/>
        <w:rPr/>
      </w:pPr>
      <w:r>
        <w:rPr>
          <w:rFonts w:ascii="Times New Roman;serif" w:hAnsi="Times New Roman;serif"/>
          <w:b/>
          <w:i/>
          <w:color w:val="000000"/>
          <w:sz w:val="20"/>
        </w:rPr>
        <w:t>SEC -</w:t>
      </w:r>
      <w:r>
        <w:rPr>
          <w:color w:val="000000"/>
        </w:rPr>
        <w:t xml:space="preserve"> </w:t>
      </w:r>
      <w:r>
        <w:rPr>
          <w:rFonts w:ascii="Times New Roman;serif" w:hAnsi="Times New Roman;serif"/>
          <w:b w:val="false"/>
          <w:color w:val="000000"/>
          <w:sz w:val="20"/>
        </w:rPr>
        <w:t>U.S. Securities and Exchange Commission</w:t>
      </w:r>
    </w:p>
    <w:p>
      <w:pPr>
        <w:pStyle w:val="TextBody"/>
        <w:bidi w:val="0"/>
        <w:spacing w:lineRule="auto" w:line="288" w:before="0" w:after="200"/>
        <w:jc w:val="both"/>
        <w:rPr/>
      </w:pP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 United States of America</w:t>
      </w:r>
    </w:p>
    <w:p>
      <w:pPr>
        <w:pStyle w:val="TextBody"/>
        <w:bidi w:val="0"/>
        <w:spacing w:lineRule="auto" w:line="288" w:before="0" w:after="200"/>
        <w:jc w:val="both"/>
        <w:rPr/>
      </w:pPr>
      <w:r>
        <w:rPr>
          <w:rFonts w:ascii="Times New Roman;serif" w:hAnsi="Times New Roman;serif"/>
          <w:b/>
          <w:i/>
          <w:color w:val="000000"/>
          <w:sz w:val="20"/>
        </w:rPr>
        <w:t>UGI Corporation Senior Notes -</w:t>
      </w:r>
      <w:r>
        <w:rPr>
          <w:color w:val="000000"/>
        </w:rPr>
        <w:t xml:space="preserve"> </w:t>
      </w:r>
      <w:r>
        <w:rPr>
          <w:rFonts w:ascii="Times New Roman;serif" w:hAnsi="Times New Roman;serif"/>
          <w:b w:val="false"/>
          <w:color w:val="000000"/>
          <w:sz w:val="20"/>
        </w:rPr>
        <w:t>Aggregate $700 million convertible senior notes entered into by UGI Corporation on June 11, 2024, with a final maturity date of June 2028</w:t>
      </w:r>
    </w:p>
    <w:p>
      <w:pPr>
        <w:pStyle w:val="TextBody"/>
        <w:bidi w:val="0"/>
        <w:spacing w:lineRule="auto" w:line="288" w:before="0" w:after="200"/>
        <w:jc w:val="both"/>
        <w:rPr/>
      </w:pPr>
      <w:r>
        <w:rPr>
          <w:rFonts w:ascii="Times New Roman;serif" w:hAnsi="Times New Roman;serif"/>
          <w:b/>
          <w:i/>
          <w:color w:val="000000"/>
          <w:sz w:val="20"/>
        </w:rPr>
        <w:t xml:space="preserve">UGI Corporation 2025 Credit Agreement - </w:t>
      </w:r>
      <w:r>
        <w:rPr>
          <w:rFonts w:ascii="Times New Roman;serif" w:hAnsi="Times New Roman;serif"/>
          <w:b w:val="false"/>
          <w:color w:val="000000"/>
          <w:sz w:val="20"/>
        </w:rPr>
        <w:t>An amended and restated secured senior facilities agreement entered into by UGI Corporation in October 2024, and amended in August 2025, comprising (1) a $475 million revolving credit facility, with a maturity date of October, 11, 2028, (2) a $400 million term loan facility with a maturity date of October 11, 2027, and (3) a $300 million revolving credit facility, with a maturity date of August 2026</w:t>
      </w:r>
    </w:p>
    <w:p>
      <w:pPr>
        <w:pStyle w:val="TextBody"/>
        <w:bidi w:val="0"/>
        <w:spacing w:lineRule="auto" w:line="268" w:before="0" w:after="200"/>
        <w:jc w:val="both"/>
        <w:rPr/>
      </w:pPr>
      <w:r>
        <w:rPr>
          <w:rFonts w:ascii="Times New Roman;serif" w:hAnsi="Times New Roman;serif"/>
          <w:b/>
          <w:i/>
          <w:color w:val="000000"/>
          <w:sz w:val="20"/>
        </w:rPr>
        <w:t xml:space="preserve">USD </w:t>
      </w:r>
      <w:r>
        <w:rPr>
          <w:rFonts w:ascii="Times New Roman;serif" w:hAnsi="Times New Roman;serif"/>
          <w:b w:val="false"/>
          <w:color w:val="000000"/>
          <w:sz w:val="20"/>
        </w:rPr>
        <w:t xml:space="preserve">- U.S. dollar </w:t>
      </w:r>
    </w:p>
    <w:p>
      <w:pPr>
        <w:pStyle w:val="TextBody"/>
        <w:bidi w:val="0"/>
        <w:spacing w:lineRule="auto" w:line="261" w:before="0" w:after="200"/>
        <w:jc w:val="both"/>
        <w:rPr/>
      </w:pPr>
      <w:r>
        <w:rPr>
          <w:rFonts w:ascii="Times New Roman;serif" w:hAnsi="Times New Roman;serif"/>
          <w:b/>
          <w:i/>
          <w:color w:val="000000"/>
          <w:sz w:val="20"/>
        </w:rPr>
        <w:t>WVPSC</w:t>
      </w:r>
      <w:r>
        <w:rPr>
          <w:color w:val="000000"/>
        </w:rPr>
        <w:t xml:space="preserve"> </w:t>
      </w:r>
      <w:r>
        <w:rPr>
          <w:rFonts w:ascii="Times New Roman;serif" w:hAnsi="Times New Roman;serif"/>
          <w:b w:val="false"/>
          <w:color w:val="000000"/>
          <w:sz w:val="20"/>
        </w:rPr>
        <w:t>- Public Service Commission of West Virginia</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(Millions of dollars)</w:t>
      </w:r>
    </w:p>
    <w:tbl>
      <w:tblPr>
        <w:tblW w:w="10205" w:type="dxa"/>
        <w:jc w:val="center"/>
        <w:tblInd w:w="0" w:type="dxa"/>
        <w:tblLayout w:type="fixed"/>
        <w:tblCellMar>
          <w:top w:w="28" w:type="dxa"/>
          <w:left w:w="28" w:type="dxa"/>
          <w:bottom w:w="28" w:type="dxa"/>
          <w:right w:w="28" w:type="dxa"/>
        </w:tblCellMar>
      </w:tblPr>
      <w:tblGrid>
        <w:gridCol w:w="2409"/>
        <w:gridCol w:w="1910"/>
        <w:gridCol w:w="1916"/>
        <w:gridCol w:w="109"/>
        <w:gridCol w:w="109"/>
        <w:gridCol w:w="109"/>
        <w:gridCol w:w="196"/>
        <w:gridCol w:w="646"/>
        <w:gridCol w:w="109"/>
        <w:gridCol w:w="109"/>
        <w:gridCol w:w="109"/>
        <w:gridCol w:w="109"/>
        <w:gridCol w:w="214"/>
        <w:gridCol w:w="706"/>
        <w:gridCol w:w="119"/>
        <w:gridCol w:w="109"/>
        <w:gridCol w:w="109"/>
        <w:gridCol w:w="109"/>
        <w:gridCol w:w="196"/>
        <w:gridCol w:w="646"/>
        <w:gridCol w:w="157"/>
      </w:tblGrid>
      <w:tr>
        <w:trPr/>
        <w:tc>
          <w:tcPr>
            <w:tcW w:w="240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2025</w:t>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allowances for doubtful accounts of $54, $42 and $73,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utility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Held for sale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(less accumulated depreciation of $5,253, $5,270 and $5,220,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Held for sale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UGI Corporation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UGI Common Stock, without par value (authorized — 450,000,000 shares; issued — 217,706,132, 217,033,282 and 216,929,085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UGI Corporation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(Millions of dollars, except per share amounts)</w:t>
      </w:r>
    </w:p>
    <w:tbl>
      <w:tblPr>
        <w:tblW w:w="10205" w:type="dxa"/>
        <w:jc w:val="left"/>
        <w:tblInd w:w="0" w:type="dxa"/>
        <w:tblLayout w:type="fixed"/>
        <w:tblCellMar>
          <w:top w:w="28" w:type="dxa"/>
          <w:left w:w="28" w:type="dxa"/>
          <w:bottom w:w="28" w:type="dxa"/>
          <w:right w:w="28" w:type="dxa"/>
        </w:tblCellMar>
      </w:tblPr>
      <w:tblGrid>
        <w:gridCol w:w="1982"/>
        <w:gridCol w:w="1556"/>
        <w:gridCol w:w="156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8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br/>
              <w:t>June 30,</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 shown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disposals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UGI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attributable to UGI Corporation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221,787 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218,423 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(Millions of dollars)</w:t>
      </w:r>
    </w:p>
    <w:tbl>
      <w:tblPr>
        <w:tblW w:w="10205" w:type="dxa"/>
        <w:jc w:val="left"/>
        <w:tblInd w:w="0" w:type="dxa"/>
        <w:tblLayout w:type="fixed"/>
        <w:tblCellMar>
          <w:top w:w="28" w:type="dxa"/>
          <w:left w:w="28" w:type="dxa"/>
          <w:bottom w:w="28" w:type="dxa"/>
          <w:right w:w="28" w:type="dxa"/>
        </w:tblCellMar>
      </w:tblPr>
      <w:tblGrid>
        <w:gridCol w:w="2246"/>
        <w:gridCol w:w="1840"/>
        <w:gridCol w:w="1845"/>
        <w:gridCol w:w="211"/>
        <w:gridCol w:w="516"/>
        <w:gridCol w:w="109"/>
        <w:gridCol w:w="109"/>
        <w:gridCol w:w="109"/>
        <w:gridCol w:w="109"/>
        <w:gridCol w:w="211"/>
        <w:gridCol w:w="516"/>
        <w:gridCol w:w="109"/>
        <w:gridCol w:w="109"/>
        <w:gridCol w:w="109"/>
        <w:gridCol w:w="109"/>
        <w:gridCol w:w="211"/>
        <w:gridCol w:w="466"/>
        <w:gridCol w:w="109"/>
        <w:gridCol w:w="109"/>
        <w:gridCol w:w="109"/>
        <w:gridCol w:w="109"/>
        <w:gridCol w:w="211"/>
        <w:gridCol w:w="466"/>
        <w:gridCol w:w="158"/>
      </w:tblGrid>
      <w:tr>
        <w:trPr/>
        <w:tc>
          <w:tcPr>
            <w:tcW w:w="224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br/>
              <w:t>June 30,</w:t>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UGI Corporation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(losses) on derivative instruments (net of tax of $(3), $0, $(6) and $(3), respectively)</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 of net losses (gains) on derivative instruments (net of tax of $0, $1, $1 and $1, respectively)</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 (net of tax of $(4), $24, $(8) and $15, respectively)</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plans (net of tax of $0, $0, $0 and $0, respectively)</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UGI Corporation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(Millions of dollars)</w:t>
      </w:r>
    </w:p>
    <w:tbl>
      <w:tblPr>
        <w:tblW w:w="10205" w:type="dxa"/>
        <w:jc w:val="left"/>
        <w:tblInd w:w="0" w:type="dxa"/>
        <w:tblLayout w:type="fixed"/>
        <w:tblCellMar>
          <w:top w:w="28" w:type="dxa"/>
          <w:left w:w="28" w:type="dxa"/>
          <w:bottom w:w="28" w:type="dxa"/>
          <w:right w:w="28" w:type="dxa"/>
        </w:tblCellMar>
      </w:tblPr>
      <w:tblGrid>
        <w:gridCol w:w="2896"/>
        <w:gridCol w:w="2505"/>
        <w:gridCol w:w="2510"/>
        <w:gridCol w:w="109"/>
        <w:gridCol w:w="109"/>
        <w:gridCol w:w="109"/>
        <w:gridCol w:w="214"/>
        <w:gridCol w:w="473"/>
        <w:gridCol w:w="109"/>
        <w:gridCol w:w="109"/>
        <w:gridCol w:w="109"/>
        <w:gridCol w:w="109"/>
        <w:gridCol w:w="214"/>
        <w:gridCol w:w="473"/>
        <w:gridCol w:w="157"/>
      </w:tblGrid>
      <w:tr>
        <w:trPr/>
        <w:tc>
          <w:tcPr>
            <w:tcW w:w="2896"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br/>
              <w:t>June 30,</w:t>
            </w:r>
          </w:p>
        </w:tc>
      </w:tr>
      <w:tr>
        <w:trPr/>
        <w:tc>
          <w:tcPr>
            <w:tcW w:w="7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UGI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attributable to UGI Corporation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unrealized gains and losses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disposals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accrued utility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deferred fuel costs, net of changes in unsettled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collateral deposits received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disposition of businesses and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debt, net of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of long-term debt and finance leases, including redemption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(repayments),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(Millions of dollars, except per share amounts)</w:t>
      </w:r>
    </w:p>
    <w:tbl>
      <w:tblPr>
        <w:tblW w:w="10205" w:type="dxa"/>
        <w:jc w:val="left"/>
        <w:tblInd w:w="0" w:type="dxa"/>
        <w:tblLayout w:type="fixed"/>
        <w:tblCellMar>
          <w:top w:w="28" w:type="dxa"/>
          <w:left w:w="28" w:type="dxa"/>
          <w:bottom w:w="28" w:type="dxa"/>
          <w:right w:w="28" w:type="dxa"/>
        </w:tblCellMar>
      </w:tblPr>
      <w:tblGrid>
        <w:gridCol w:w="2076"/>
        <w:gridCol w:w="1676"/>
        <w:gridCol w:w="168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07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br/>
              <w:t>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 without par value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connection with employee and director plans, net of tax withheld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UGI Corporation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UGI Common Stock ($0.375, $0.375, $1.13 and $1.13,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Reacquired Common Stock - employee and director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UGI stockholders’ equity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Noncontrolling interests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pPr>
      <w:r>
        <w:rPr>
          <w:rFonts w:ascii="Times New Roman;serif" w:hAnsi="Times New Roman;serif"/>
          <w:b/>
          <w:color w:val="000000"/>
          <w:sz w:val="20"/>
          <w:u w:val="single"/>
        </w:rPr>
        <w:t>Note 1 — Nature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UGI is a holding company that, through subsidiaries and affiliates, distributes, stores, transports and markets energy products and related services in the U.S. and Europe. We own and operate (1) natural gas and electric distribution utilities; (2) energy marketing, midstream infrastructure, storage, natural gas gathering and processing, natural gas production, and energy services businesses; and (3) retail propane and other LPG marketing and distribution businesses.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Utilities segment includes UGI Utilities and Mountaineer. PA Gas Utility serves customers in eastern and central Pennsylvania and in portions of one Maryland county, and WV Gas Utility serves customers in West Virginia. Electric Utility serves customers in portions of Luzerne and Wyoming counties in northeastern Pennsylvania. PA Gas Utility is subject to regulation by the PAPUC and FERC and, with respect to its customers in Maryland, the MDPSC. WV Gas Utility is subject to regulation by the WVPSC and FERC. Electric Utility is subject to regulation by the PAPUC and FERC (see Note 5 for pending disposition of Electric Utility).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Energy Services conducts, directly and through subsidiaries and affiliates, energy marketing, including RNG, midstream transmission, LNG storage, natural gas gathering and processing, natural gas and RNG production, and energy services businesses primarily in the eastern region of the U.S., eastern Ohio, the panhandle of West Virginia and California. Energy Services and its subsidiaries’ storage, LNG and portions of its midstream transmission operations are subject to regulation by the FERC.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UGI International, LLC, through its subsidiaries and affiliates, primarily conducts an LPG distribution business throughout much of Europe. The LPG business is conducted principally through our subsidiaries, UGI France, AvantiGas and, prior to the sales in June and November 2025, UniverGas and Flaga.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a domestic propane marketing and distribution business through AmeriGas Partners. AmeriGas Partners conducts its propane marketing and distribution business through its principal operating subsidiary AmeriGas OLP.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u w:val="single"/>
        </w:rPr>
      </w:pPr>
      <w:r>
        <w:rPr>
          <w:rFonts w:ascii="Times New Roman;serif" w:hAnsi="Times New Roman;serif"/>
          <w:b/>
          <w:color w:val="000000"/>
          <w:sz w:val="20"/>
          <w:u w:val="single"/>
        </w:rPr>
        <w:t>Note 2 — Summary of Significant Accounting Policies</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footnotes are unaudited and have been prepared in accordance with GAAP and the rules and regulations of the SEC. They include all adjustments that we consider necessary for a fair statement of the results for the interim periods presented. Such adjustments consisted only of normal recurring items unless otherwise disclosed. The September 30, 2025, Condensed Consolidated Balance Sheet was derived from audited financial statements but does not include all footnote disclosures from the annual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should be read in conjunction with the financial statements and related notes included in the Company’s 2025 Annual Report. Due to the seasonal nature of our businesses, the results of operations for interim periods are not necessarily indicative of the results to be expected for a full year.</w:t>
      </w:r>
    </w:p>
    <w:p>
      <w:pPr>
        <w:pStyle w:val="TextBody"/>
        <w:bidi w:val="0"/>
        <w:spacing w:lineRule="auto" w:line="288" w:before="200" w:after="283"/>
        <w:jc w:val="both"/>
        <w:rPr/>
      </w:pPr>
      <w:r>
        <w:rPr>
          <w:rFonts w:ascii="Times New Roman;serif" w:hAnsi="Times New Roman;serif"/>
          <w:b/>
          <w:i/>
          <w:color w:val="000000"/>
          <w:sz w:val="20"/>
        </w:rPr>
        <w:t>Restricted Cash.</w:t>
      </w:r>
      <w:r>
        <w:rPr>
          <w:color w:val="000000"/>
        </w:rPr>
        <w:t xml:space="preserve"> </w:t>
      </w:r>
      <w:r>
        <w:rPr>
          <w:rFonts w:ascii="Times New Roman;serif" w:hAnsi="Times New Roman;serif"/>
          <w:b w:val="false"/>
          <w:color w:val="000000"/>
          <w:sz w:val="20"/>
        </w:rPr>
        <w:t>Restricted cash principally represents those cash balances in our commodity futures brokerage accounts that are restricted from withdrawal. The following table provides a reconciliation of the total cash, cash equivalents and restricted cash reported on the Condensed Consolidated Balance Sheets to the corresponding amounts reported on the Condensed Consolidated Statements of Cash Flows.</w:t>
      </w:r>
    </w:p>
    <w:tbl>
      <w:tblPr>
        <w:tblW w:w="5780" w:type="dxa"/>
        <w:jc w:val="center"/>
        <w:tblInd w:w="0" w:type="dxa"/>
        <w:tblLayout w:type="fixed"/>
        <w:tblCellMar>
          <w:top w:w="28" w:type="dxa"/>
          <w:left w:w="28" w:type="dxa"/>
          <w:bottom w:w="28" w:type="dxa"/>
          <w:right w:w="28" w:type="dxa"/>
        </w:tblCellMar>
      </w:tblPr>
      <w:tblGrid>
        <w:gridCol w:w="1271"/>
        <w:gridCol w:w="1116"/>
        <w:gridCol w:w="1122"/>
        <w:gridCol w:w="109"/>
        <w:gridCol w:w="109"/>
        <w:gridCol w:w="109"/>
        <w:gridCol w:w="211"/>
        <w:gridCol w:w="466"/>
        <w:gridCol w:w="109"/>
        <w:gridCol w:w="109"/>
        <w:gridCol w:w="109"/>
        <w:gridCol w:w="109"/>
        <w:gridCol w:w="211"/>
        <w:gridCol w:w="46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pPr>
      <w:r>
        <w:rPr>
          <w:rFonts w:ascii="Times New Roman;serif" w:hAnsi="Times New Roman;serif"/>
          <w:b/>
          <w:i/>
          <w:color w:val="000000"/>
          <w:sz w:val="20"/>
        </w:rPr>
        <w:t>Earnings Per Common Share.</w:t>
      </w:r>
      <w:r>
        <w:rPr>
          <w:color w:val="000000"/>
        </w:rPr>
        <w:t xml:space="preserve"> </w:t>
      </w:r>
      <w:r>
        <w:rPr>
          <w:rFonts w:ascii="Times New Roman;serif" w:hAnsi="Times New Roman;serif"/>
          <w:b w:val="false"/>
          <w:color w:val="000000"/>
          <w:sz w:val="20"/>
        </w:rPr>
        <w:t>Basic earnings per share attributable to UGI Corporation stockholders reflect the weighted-average number of common shares outstanding. Diluted earnings per share attributable to UGI Corporation stockholders include the effects of dilutive stock options, common stock awards, and UGI Corporation Senior Notes. Shares used in computing basic and diluted earnings per share are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730"/>
        <w:gridCol w:w="1383"/>
        <w:gridCol w:w="1390"/>
        <w:gridCol w:w="109"/>
        <w:gridCol w:w="109"/>
        <w:gridCol w:w="109"/>
        <w:gridCol w:w="413"/>
        <w:gridCol w:w="413"/>
        <w:gridCol w:w="172"/>
        <w:gridCol w:w="167"/>
        <w:gridCol w:w="167"/>
        <w:gridCol w:w="167"/>
        <w:gridCol w:w="413"/>
        <w:gridCol w:w="413"/>
        <w:gridCol w:w="172"/>
        <w:gridCol w:w="109"/>
        <w:gridCol w:w="109"/>
        <w:gridCol w:w="109"/>
        <w:gridCol w:w="413"/>
        <w:gridCol w:w="413"/>
        <w:gridCol w:w="174"/>
        <w:gridCol w:w="159"/>
        <w:gridCol w:w="159"/>
        <w:gridCol w:w="159"/>
        <w:gridCol w:w="413"/>
        <w:gridCol w:w="413"/>
        <w:gridCol w:w="248"/>
      </w:tblGrid>
      <w:tr>
        <w:trPr/>
        <w:tc>
          <w:tcPr>
            <w:tcW w:w="173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June 30,</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(thousands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issuable for stock options, and common stock awards(a)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Corporation Senior Notes (a)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214,690 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214,813 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221,787 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218,423 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(a)For the three months ended June 30, 2026 and 2025, 6,546 and 5,853 shares, respectively, have been excluded from the computation of diluted earnings per share as such incremental shares would be antidilutive due to the net losses for the periods. For the nine months ended June 30, 2026 and 2025, there were 5,555 and 5,212 shares, respectively, associated with outstanding stock option awards that were not included in the computation of diluted earnings per share above because their effect was antidilutive.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(b)See Note 8 for additional information on the UGI Corporation Senior Notes.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Derivative Instruments. </w:t>
      </w:r>
      <w:r>
        <w:rPr>
          <w:rFonts w:ascii="Times New Roman;serif" w:hAnsi="Times New Roman;serif"/>
          <w:b w:val="false"/>
          <w:color w:val="000000"/>
          <w:sz w:val="20"/>
        </w:rPr>
        <w:t>Derivative instruments are reported on the Condensed Consolidated Balance Sheets at their fair values, unless the NPNS exception is elected. The accounting for changes in fair value depends upon the purpose of the derivative instrument, whether it is subject to regulatory ratemaking mechanisms or if it qualifies and is designated as a hedge for accounting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derivative instruments qualify and are designated as cash flow hedges. For cash flow hedges, changes in the fair values of the derivative instruments are recorded in AOCI, to the extent effective at offsetting changes in the hedged item, until earnings are affected by the hedged item. We discontinue cash flow hedge accounting if occurrence of the forecasted transaction is determined to be no longer probable. Hedge accounting is also discontinued for derivatives that cease to be highly effective. We do not designate our commodity and certain foreign currency derivative instruments as hedges under GAAP. Changes in the fair values of these derivative instruments are reflected in net income. Gains and losses on substantially all of the commodity derivative instruments used by Utilities are included in regulatory assets or liabilities because it is probable such gains or losses will be recoverable from, or refundable to, customers. From time to time, we also enter into net investment hedges. Gains and losses on net investment hedges that relate to our foreign operations are included in the cumulative translation adjustment component in AOCI until such foreign net investment is substantially sold or liquidated.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derivative instruments, other than certain net investment hedges, are included in cash flows from operating activities on the Condensed Consolidated Statements of Cash Flows. Cash flows from net investment hedges are included in cash flows from investing activities on the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11 for a more detailed description of the derivative instruments we use, our accounting for derivatives, our objectives for using them and other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The preparation of financial statements in accordance with GAAP requires management to make estimates and assumptions that affect the reported amounts of assets, liabilities, revenues, expenses and costs. These estimates are based on management’s knowledge of current events, historical experience and various other assumptions that are believed to be reasonable under the circumstances. Accordingly, actual results may be different from these estimates and assumptions.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Goodwill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We do not amortize goodwill, but test it at least annually for impairment at the reporting unit level. A reporting unit is an operating segment, or one level below an operating segment (a component) if it constitutes a business for which discrete financial information is available and regularly reviewed by segment management. Components are aggregated into a single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reporting unit if they have similar economic characteristics. Each of our reporting units with goodwill is required to perform impairment tests annually or whenever events or circumstances indicate that the value of goodwill may be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AmeriGas Propane's Fiscal 2025 goodwill impairment test, the Company performed a quantitative assessment. Based on our evaluation, we determined that AmeriGas Propane’s fair value exceeded its carrying value by more than 25%. While the Company believes that its judgments used in the quantitative assessment of AmeriGas Propane’s fair value are reasonable based upon currently available facts and circumstances, if AmeriGas Propane were not able to achieve its anticipated results and/or if its discount rate were to increase, its fair value would be adversely affected, which may result in an impairment. There was $1.1 billion of goodwill in the AmeriGas Propane reporting unit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continue to monitor its reporting units and related goodwill for any possible future non-cash impairment charges.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u w:val="single"/>
        </w:rPr>
      </w:pPr>
      <w:r>
        <w:rPr>
          <w:rFonts w:ascii="Times New Roman;serif" w:hAnsi="Times New Roman;serif"/>
          <w:b/>
          <w:color w:val="000000"/>
          <w:sz w:val="20"/>
          <w:u w:val="single"/>
        </w:rPr>
        <w:t>Note 3 — Accounting Changes</w:t>
      </w:r>
    </w:p>
    <w:p>
      <w:pPr>
        <w:pStyle w:val="TextBody"/>
        <w:bidi w:val="0"/>
        <w:spacing w:lineRule="auto" w:line="288" w:before="280" w:after="283"/>
        <w:ind w:left="0" w:right="0" w:hanging="540"/>
        <w:jc w:val="both"/>
        <w:rPr>
          <w:rFonts w:ascii="Times New Roman;serif" w:hAnsi="Times New Roman;serif"/>
          <w:b/>
          <w:color w:val="000000"/>
          <w:sz w:val="20"/>
        </w:rPr>
      </w:pPr>
      <w:r>
        <w:rPr>
          <w:rFonts w:ascii="Times New Roman;serif" w:hAnsi="Times New Roman;serif"/>
          <w:b/>
          <w:color w:val="000000"/>
          <w:sz w:val="20"/>
        </w:rPr>
        <w:t>Accounting Standards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Environmental Credits and Environmental Credit Obligations. </w:t>
      </w:r>
      <w:r>
        <w:rPr>
          <w:rFonts w:ascii="Times New Roman;serif" w:hAnsi="Times New Roman;serif"/>
          <w:b w:val="false"/>
          <w:color w:val="000000"/>
          <w:sz w:val="20"/>
        </w:rPr>
        <w:t>In May 2026, the FASB issued ASU 2026-02, "Environmental Credits and Environmental Credit Obligations (Topic 818)" which provides authoritative guidance for the recognition, measurement, presentation, and disclosure of environmental credits and environmental credit obligations. This new guidance is effective for the Company for annual and interim periods beginning October 1, 2028 (Fiscal 2029). Early adoption is permitted. The amendments in this ASU should be applied using the modified retrospective method. The Company is in the process of assessing the impact on its financial statements and the period in which the new guidance will be adopted.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Interim Reporting: Narrow-Scope Improvements.</w:t>
      </w:r>
      <w:r>
        <w:rPr>
          <w:color w:val="000000"/>
        </w:rPr>
        <w:t xml:space="preserve"> </w:t>
      </w:r>
      <w:r>
        <w:rPr>
          <w:rFonts w:ascii="Times New Roman;serif" w:hAnsi="Times New Roman;serif"/>
          <w:b w:val="false"/>
          <w:color w:val="000000"/>
          <w:sz w:val="20"/>
        </w:rPr>
        <w:t>In December 2025, the FASB issued ASU 2025-11, “Narrow-Scope Improvements (Topic 270)” which clarifies disclosure requirements and applicability for interim financial statements. This new guidance is effective for the Company for interim periods beginning October 1, 2028 (Fiscal 2029). Early adoption is permitted. The amendments in this ASU may be adopted using the prospective or retrospective methods. The Company is in the process of assessing the impact on its financial statements and determining the transition method and the period in which the new guidance will be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In September 2025, the FASB issued ASU 2025-06, “Targeted Improvements to the Accounting for Internal-Use Software (Subtopic 350-40)” which, among other things, removes the prescriptive project stage requirements and allows entities to capitalize internal-use software costs when management authorizes and commits funding to the project and it is probable the software will be completed and used as intended. This new guidance is effective for the Company for annual and interim periods beginning October 1, 2028 (Fiscal 2029). Early adoption is permitted. The amendments in this ASU may be adopted using the prospective, modified, or retrospective methods. The Company is in the process of assessing the impact on its financial statements and determining the transition method and the period in which the new guidance will be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In July 2025, the FASB issued ASU 2025-05, “Measurement of Credit Losses for Accounts Receivable and Contract Assets (Topic 326)” which provides a practical expedient that allows entities to assume that current conditions as of the balance sheet date do not change for the remaining life of the asset when estimating expected credit losses for current accounts receivable and current contract assets. This new guidance is effective for the Company for annual and interim periods beginning October 1, 2026 (Fiscal 2027). Early adoption is permitted. The amendments in this ASU should be adopted using the prospective method. The Company is in the process of assessing the impact on its financial statements and the period in which the new guidance will be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ind w:left="0" w:right="0" w:hanging="54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Disaggregation of Income Statement Expenses. </w:t>
      </w:r>
      <w:r>
        <w:rPr>
          <w:rFonts w:ascii="Times New Roman;serif" w:hAnsi="Times New Roman;serif"/>
          <w:b w:val="false"/>
          <w:color w:val="000000"/>
          <w:sz w:val="20"/>
        </w:rPr>
        <w:t>In November 2024, the FASB issued ASU 2024-03, “Disaggregation of Income Statement Expenses (Subtopic 220-40)”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the Company for annual periods beginning October 1, 2027 (Fiscal 2028) and interim periods beginning October 1, 2028 (Fiscal 2029). Early adoption is permitted. The amendments in this ASU may be adopted using the prospective or retrospective methods. The Company is in the process of assessing the impact on its financial statements and determining the transition method and the period in which the new guidance will be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Improvements to Income Tax Disclosures.</w:t>
      </w:r>
      <w:r>
        <w:rPr>
          <w:color w:val="000000"/>
        </w:rPr>
        <w:t xml:space="preserve"> </w:t>
      </w:r>
      <w:r>
        <w:rPr>
          <w:rFonts w:ascii="Times New Roman;serif" w:hAnsi="Times New Roman;serif"/>
          <w:b w:val="false"/>
          <w:color w:val="000000"/>
          <w:sz w:val="20"/>
        </w:rPr>
        <w:t>In December 2023, the FASB issued ASU 2023-09, “Improvements to Income Tax Disclosures (Topic 740)” which requires entities to disclose, among other items, disaggregated information about a reporting entity’s effective tax rate reconciliation and income taxes paid. This new guidance is effective for the Company for annual periods beginning October 1, 2025 (Fiscal 2026). Early adoption is permitted. The amendments in this ASU may be adopted using the prospective or retrospective methods. The Company will adopt the new guidance effective for the year ending September 30, 2026 and provide the additional disclosures as required by the new guidance.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Note 4 — Revenue from Contracts with Customers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control of promised goods or services is transferred to customers in an amount that reflects the consideration to which we expect to be entitled in exchange for those goods or services. See Note 4 in the Company’s 2025 Annual Report for additional information on our revenues from contracts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Disaggregation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our disaggregated revenues by reportable segment:</w:t>
      </w:r>
    </w:p>
    <w:tbl>
      <w:tblPr>
        <w:tblW w:w="10205" w:type="dxa"/>
        <w:jc w:val="center"/>
        <w:tblInd w:w="0" w:type="dxa"/>
        <w:tblLayout w:type="fixed"/>
        <w:tblCellMar>
          <w:top w:w="28" w:type="dxa"/>
          <w:left w:w="28" w:type="dxa"/>
          <w:bottom w:w="28" w:type="dxa"/>
          <w:right w:w="28" w:type="dxa"/>
        </w:tblCellMar>
      </w:tblPr>
      <w:tblGrid>
        <w:gridCol w:w="619"/>
        <w:gridCol w:w="310"/>
        <w:gridCol w:w="313"/>
        <w:gridCol w:w="109"/>
        <w:gridCol w:w="109"/>
        <w:gridCol w:w="109"/>
        <w:gridCol w:w="196"/>
        <w:gridCol w:w="556"/>
        <w:gridCol w:w="109"/>
        <w:gridCol w:w="109"/>
        <w:gridCol w:w="109"/>
        <w:gridCol w:w="109"/>
        <w:gridCol w:w="285"/>
        <w:gridCol w:w="591"/>
        <w:gridCol w:w="160"/>
        <w:gridCol w:w="109"/>
        <w:gridCol w:w="109"/>
        <w:gridCol w:w="109"/>
        <w:gridCol w:w="196"/>
        <w:gridCol w:w="421"/>
        <w:gridCol w:w="109"/>
        <w:gridCol w:w="109"/>
        <w:gridCol w:w="109"/>
        <w:gridCol w:w="109"/>
        <w:gridCol w:w="296"/>
        <w:gridCol w:w="638"/>
        <w:gridCol w:w="166"/>
        <w:gridCol w:w="109"/>
        <w:gridCol w:w="109"/>
        <w:gridCol w:w="109"/>
        <w:gridCol w:w="280"/>
        <w:gridCol w:w="603"/>
        <w:gridCol w:w="157"/>
        <w:gridCol w:w="109"/>
        <w:gridCol w:w="109"/>
        <w:gridCol w:w="109"/>
        <w:gridCol w:w="251"/>
        <w:gridCol w:w="539"/>
        <w:gridCol w:w="140"/>
        <w:gridCol w:w="109"/>
        <w:gridCol w:w="109"/>
        <w:gridCol w:w="109"/>
        <w:gridCol w:w="252"/>
        <w:gridCol w:w="523"/>
        <w:gridCol w:w="206"/>
      </w:tblGrid>
      <w:tr>
        <w:trPr/>
        <w:tc>
          <w:tcPr>
            <w:tcW w:w="6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Eliminations</w:t>
              <w:br/>
              <w:t xml:space="preserv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UGI 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AmeriGas Propane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Corporate &amp; Other </w:t>
            </w:r>
          </w:p>
        </w:tc>
      </w:tr>
      <w:tr>
        <w:trPr/>
        <w:tc>
          <w:tcPr>
            <w:tcW w:w="12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delivery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Off-system sales and capacity releases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LPG: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tbl>
      <w:tblPr>
        <w:tblW w:w="10205" w:type="dxa"/>
        <w:jc w:val="center"/>
        <w:tblInd w:w="0" w:type="dxa"/>
        <w:tblLayout w:type="fixed"/>
        <w:tblCellMar>
          <w:top w:w="28" w:type="dxa"/>
          <w:left w:w="28" w:type="dxa"/>
          <w:bottom w:w="28" w:type="dxa"/>
          <w:right w:w="28" w:type="dxa"/>
        </w:tblCellMar>
      </w:tblPr>
      <w:tblGrid>
        <w:gridCol w:w="619"/>
        <w:gridCol w:w="311"/>
        <w:gridCol w:w="314"/>
        <w:gridCol w:w="109"/>
        <w:gridCol w:w="109"/>
        <w:gridCol w:w="109"/>
        <w:gridCol w:w="196"/>
        <w:gridCol w:w="556"/>
        <w:gridCol w:w="109"/>
        <w:gridCol w:w="109"/>
        <w:gridCol w:w="109"/>
        <w:gridCol w:w="109"/>
        <w:gridCol w:w="285"/>
        <w:gridCol w:w="591"/>
        <w:gridCol w:w="160"/>
        <w:gridCol w:w="109"/>
        <w:gridCol w:w="109"/>
        <w:gridCol w:w="109"/>
        <w:gridCol w:w="196"/>
        <w:gridCol w:w="421"/>
        <w:gridCol w:w="109"/>
        <w:gridCol w:w="109"/>
        <w:gridCol w:w="109"/>
        <w:gridCol w:w="109"/>
        <w:gridCol w:w="296"/>
        <w:gridCol w:w="638"/>
        <w:gridCol w:w="166"/>
        <w:gridCol w:w="109"/>
        <w:gridCol w:w="109"/>
        <w:gridCol w:w="109"/>
        <w:gridCol w:w="280"/>
        <w:gridCol w:w="603"/>
        <w:gridCol w:w="157"/>
        <w:gridCol w:w="109"/>
        <w:gridCol w:w="109"/>
        <w:gridCol w:w="109"/>
        <w:gridCol w:w="251"/>
        <w:gridCol w:w="539"/>
        <w:gridCol w:w="140"/>
        <w:gridCol w:w="109"/>
        <w:gridCol w:w="109"/>
        <w:gridCol w:w="109"/>
        <w:gridCol w:w="251"/>
        <w:gridCol w:w="520"/>
        <w:gridCol w:w="208"/>
      </w:tblGrid>
      <w:tr>
        <w:trPr/>
        <w:tc>
          <w:tcPr>
            <w:tcW w:w="6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Eliminations</w:t>
              <w:br/>
              <w:t xml:space="preserv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UGI 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AmeriGas Propane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Corporate &amp; Other</w:t>
            </w:r>
          </w:p>
        </w:tc>
      </w:tr>
      <w:tr>
        <w:trPr/>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delivery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Off-system sales and capacity releases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LPG: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tbl>
      <w:tblPr>
        <w:tblW w:w="10205" w:type="dxa"/>
        <w:jc w:val="center"/>
        <w:tblInd w:w="0" w:type="dxa"/>
        <w:tblLayout w:type="fixed"/>
        <w:tblCellMar>
          <w:top w:w="28" w:type="dxa"/>
          <w:left w:w="28" w:type="dxa"/>
          <w:bottom w:w="28" w:type="dxa"/>
          <w:right w:w="28" w:type="dxa"/>
        </w:tblCellMar>
      </w:tblPr>
      <w:tblGrid>
        <w:gridCol w:w="600"/>
        <w:gridCol w:w="286"/>
        <w:gridCol w:w="289"/>
        <w:gridCol w:w="109"/>
        <w:gridCol w:w="109"/>
        <w:gridCol w:w="109"/>
        <w:gridCol w:w="196"/>
        <w:gridCol w:w="556"/>
        <w:gridCol w:w="109"/>
        <w:gridCol w:w="109"/>
        <w:gridCol w:w="109"/>
        <w:gridCol w:w="109"/>
        <w:gridCol w:w="274"/>
        <w:gridCol w:w="609"/>
        <w:gridCol w:w="153"/>
        <w:gridCol w:w="109"/>
        <w:gridCol w:w="109"/>
        <w:gridCol w:w="109"/>
        <w:gridCol w:w="196"/>
        <w:gridCol w:w="556"/>
        <w:gridCol w:w="109"/>
        <w:gridCol w:w="109"/>
        <w:gridCol w:w="109"/>
        <w:gridCol w:w="109"/>
        <w:gridCol w:w="245"/>
        <w:gridCol w:w="696"/>
        <w:gridCol w:w="137"/>
        <w:gridCol w:w="109"/>
        <w:gridCol w:w="109"/>
        <w:gridCol w:w="109"/>
        <w:gridCol w:w="233"/>
        <w:gridCol w:w="664"/>
        <w:gridCol w:w="131"/>
        <w:gridCol w:w="109"/>
        <w:gridCol w:w="109"/>
        <w:gridCol w:w="109"/>
        <w:gridCol w:w="208"/>
        <w:gridCol w:w="592"/>
        <w:gridCol w:w="116"/>
        <w:gridCol w:w="109"/>
        <w:gridCol w:w="109"/>
        <w:gridCol w:w="109"/>
        <w:gridCol w:w="246"/>
        <w:gridCol w:w="511"/>
        <w:gridCol w:w="204"/>
      </w:tblGrid>
      <w:tr>
        <w:trPr/>
        <w:tc>
          <w:tcPr>
            <w:tcW w:w="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Eliminations</w:t>
              <w:br/>
              <w:t xml:space="preserv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UGI 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AmeriGas Propane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Corporate &amp; Other</w:t>
            </w:r>
          </w:p>
        </w:tc>
      </w:tr>
      <w:tr>
        <w:trPr/>
        <w:tc>
          <w:tcPr>
            <w:tcW w:w="1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delivery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Off-system sales and capacity releases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LPG: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tbl>
      <w:tblPr>
        <w:tblW w:w="10205" w:type="dxa"/>
        <w:jc w:val="center"/>
        <w:tblInd w:w="0" w:type="dxa"/>
        <w:tblLayout w:type="fixed"/>
        <w:tblCellMar>
          <w:top w:w="28" w:type="dxa"/>
          <w:left w:w="28" w:type="dxa"/>
          <w:bottom w:w="28" w:type="dxa"/>
          <w:right w:w="28" w:type="dxa"/>
        </w:tblCellMar>
      </w:tblPr>
      <w:tblGrid>
        <w:gridCol w:w="600"/>
        <w:gridCol w:w="286"/>
        <w:gridCol w:w="289"/>
        <w:gridCol w:w="109"/>
        <w:gridCol w:w="109"/>
        <w:gridCol w:w="109"/>
        <w:gridCol w:w="196"/>
        <w:gridCol w:w="556"/>
        <w:gridCol w:w="109"/>
        <w:gridCol w:w="109"/>
        <w:gridCol w:w="109"/>
        <w:gridCol w:w="109"/>
        <w:gridCol w:w="274"/>
        <w:gridCol w:w="609"/>
        <w:gridCol w:w="153"/>
        <w:gridCol w:w="109"/>
        <w:gridCol w:w="109"/>
        <w:gridCol w:w="109"/>
        <w:gridCol w:w="196"/>
        <w:gridCol w:w="556"/>
        <w:gridCol w:w="109"/>
        <w:gridCol w:w="109"/>
        <w:gridCol w:w="109"/>
        <w:gridCol w:w="109"/>
        <w:gridCol w:w="245"/>
        <w:gridCol w:w="696"/>
        <w:gridCol w:w="137"/>
        <w:gridCol w:w="109"/>
        <w:gridCol w:w="109"/>
        <w:gridCol w:w="109"/>
        <w:gridCol w:w="233"/>
        <w:gridCol w:w="664"/>
        <w:gridCol w:w="131"/>
        <w:gridCol w:w="109"/>
        <w:gridCol w:w="109"/>
        <w:gridCol w:w="109"/>
        <w:gridCol w:w="208"/>
        <w:gridCol w:w="592"/>
        <w:gridCol w:w="116"/>
        <w:gridCol w:w="109"/>
        <w:gridCol w:w="109"/>
        <w:gridCol w:w="109"/>
        <w:gridCol w:w="246"/>
        <w:gridCol w:w="511"/>
        <w:gridCol w:w="204"/>
      </w:tblGrid>
      <w:tr>
        <w:trPr/>
        <w:tc>
          <w:tcPr>
            <w:tcW w:w="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Eliminations</w:t>
              <w:br/>
              <w:t xml:space="preserv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UGI 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AmeriGas Propane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Corporate &amp; Other</w:t>
            </w:r>
          </w:p>
        </w:tc>
      </w:tr>
      <w:tr>
        <w:trPr/>
        <w:tc>
          <w:tcPr>
            <w:tcW w:w="1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delivery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Off-system sales and capacity releases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LPG: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(a)Includes intersegment revenues principally among Midstream &amp; Marketing and Utilities.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(b)Primarily represents (1) revenues from tank rentals at UGI International and AmeriGas Propane; (2) revenues from alternative revenue programs at Utilities, including the weather normalization adjustment rider for Gas Utility; and (3) gains and losses on commodity derivative instruments not associated with current-period transactions reflected in Corporate &amp; Other, none of which are within the scope of ASC 606 and are accounted for in accordance with other GAAP.</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may differ from the timing of invoicing to customers or cash receipts. Contract assets represent our right to consideration after the performance obligations have been satisfied when such right is conditioned on something other than the passage of time. Contract assets were not material for all periods presented. Substantially all of our receivables are unconditional rights to consideration and are included in “Accounts receivable” and, in the case of Utilities, “Accrued utility revenues” on the Condensed Consolidated Balance Sheets. Amounts billed are generally due within the following month.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arise when payment from a customer is received before the performance obligations have been satisfied and represent the Company’s obligations to transfer goods or services to a customer for which we have received consideration. The balances of contract liabilities were $100, $132 and $110 at June 30, 2026, September 30, 2025 and June 30, 2025, respectively, and are included in “Other current liabilities” and “Other noncurrent liabilities” on the Condensed Consolidated Balance Sheets. Revenues recognized for the nine months ended June 30, 2026 and 2025, from the amounts included in contract liabilities at September 30, 2025 and 2024, were $92 and $99,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excludes disclosures related to the aggregate amount of the transaction price allocated to certain performance obligations that are unsatisfied as of the end of the reporting period because these contracts have an initial expected term of one year or less, or we have a right to bill the customer in an amount that corresponds directly with the value of services provided to the customer to date. Certain contracts with customers at Midstream &amp; Marketing and Utilities contain minimum future performance obligations through 2047 and 2053, respectively. At June 30, 2026, the Company expects to record approximately $1.2 billion of revenues related to the minimum future performance obligations over the remaining terms of the related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5 — Dispositions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Electric Utility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April 2026, UGI Utilities entered into a definitive agreement to divest its Electric Utility for a sale price of $470, subject to changes in working capital and other adjustments. The transaction includes the sale of approximately 2,700 miles of transmission and distribution lines and 14 substations in Pennsylvania’s Luzerne and Wyoming counties. At June 30, 2026, the Electric Utility’s assets and liabilities were classified as held for sale and included in “</w:t>
      </w:r>
      <w:r>
        <w:rPr>
          <w:rFonts w:ascii="Times New Roman;serif" w:hAnsi="Times New Roman;serif"/>
          <w:b w:val="false"/>
          <w:color w:val="000000"/>
          <w:sz w:val="18"/>
        </w:rPr>
        <w:t>Held for sale assets” and “</w:t>
      </w:r>
      <w:r>
        <w:rPr>
          <w:rFonts w:ascii="Times New Roman;serif" w:hAnsi="Times New Roman;serif"/>
          <w:b w:val="false"/>
          <w:color w:val="000000"/>
          <w:sz w:val="20"/>
        </w:rPr>
        <w:t>Held for sale liabilities”, respectively, on the Condensed Consolidated Balance Sheet. The Company expects to recognize a gain upon closing, which is expected in the second quarter of Fiscal 2027, subject to customary closing conditions and applicable regulatory approvals.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 classes of assets and liabilities of the Electric Utility business which are held for sale at June 30, 2026 are as follows:</w:t>
      </w:r>
    </w:p>
    <w:p>
      <w:pPr>
        <w:pStyle w:val="TextBody"/>
        <w:bidi w:val="0"/>
        <w:spacing w:before="0" w:after="0"/>
        <w:jc w:val="both"/>
        <w:rPr/>
      </w:pPr>
      <w:r>
        <w:rPr/>
      </w:r>
    </w:p>
    <w:tbl>
      <w:tblPr>
        <w:tblW w:w="4115" w:type="dxa"/>
        <w:jc w:val="left"/>
        <w:tblInd w:w="0" w:type="dxa"/>
        <w:tblLayout w:type="fixed"/>
        <w:tblCellMar>
          <w:top w:w="28" w:type="dxa"/>
          <w:left w:w="28" w:type="dxa"/>
          <w:bottom w:w="28" w:type="dxa"/>
          <w:right w:w="28" w:type="dxa"/>
        </w:tblCellMar>
      </w:tblPr>
      <w:tblGrid>
        <w:gridCol w:w="1186"/>
        <w:gridCol w:w="1043"/>
        <w:gridCol w:w="1055"/>
        <w:gridCol w:w="211"/>
        <w:gridCol w:w="46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 for sale assets: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 for sale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 for sale liabilities: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liabilities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 for sale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Global LPG Business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Company’s global LPG business portfolio optimization efforts, the Company has strategically divested operations in non-core markets to focus resources where it can achieve superior operational results and deliver enhanced customer value.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UGI International. </w:t>
      </w:r>
      <w:r>
        <w:rPr>
          <w:rFonts w:ascii="Times New Roman;serif" w:hAnsi="Times New Roman;serif"/>
          <w:b w:val="false"/>
          <w:color w:val="000000"/>
          <w:sz w:val="20"/>
        </w:rPr>
        <w:t xml:space="preserve">In January 2026, UGI International, through a wholly-owned subsidiary, entered into a definitive agreement to divest its LPG distribution businesses in Czech Republic, Hungary, Poland, and Slovakia. The sale was completed in May 2026, subject to customary post-closing working capital adjustments. During the second quarter of Fiscal 2026, the Company classified the assets and liabilities associated with these businesses, primarily comprised of long-lived assets and goodwill allocated to the disposal group, as held for sale and recognized a non-cash, pre-tax impairment charge of $64 to record such assets at estimated fair value less costs to sell. During the third quarter of Fiscal 2026, in conjunction with the completion of the sale, the Company recognized an incremental loss on disposal of $7, resulting in a total loss of $71 for the nine months ended June 30,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UGI International, through a wholly-owned subsidiary, completed the sale of its LPG business in Romania. For the nine months ended June 30, 2026, the Company recognized a pre-tax loss on sale of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2025, UGI International, through a wholly-owned subsidiary, completed the sale of Flaga, its LPG distribution business in Austria. For the nine months ended June 30, 2026, the Company recognized a pre-tax gain on the sale of $29.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UGI International, through a wholly-owned subsidiary, completed the sale of its cylinder business in the United Kingdom. For the nine months ended June 30, 2026, the Company recognized a pre-tax gain on the sale of $2.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aggregate, the aforementioned divestitures resulted in pre-tax net losses of $7 and $42 for the three and nine months ended June 30, 2026, respectively, which were reflected in “Net loss (gain) on disposals of businesses” on the Condensed Consolidated Statements of Income and included in the UGI International reportable segment. The Company has received or expects to receive total net cash proceeds of approximately $145 from these divestitures.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 in the Company’s 2025 Annual Report for additional information on the Company’s global LPG business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pPr>
      <w:r>
        <w:rPr>
          <w:rFonts w:ascii="Times New Roman;serif" w:hAnsi="Times New Roman;serif"/>
          <w:b/>
          <w:color w:val="000000"/>
          <w:sz w:val="20"/>
          <w:u w:val="single"/>
        </w:rPr>
        <w:t>Note 6 — Inventories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Inventories comprise the following:</w:t>
      </w:r>
      <w:r>
        <w:rPr>
          <w:color w:val="000000"/>
        </w:rPr>
        <w:t> </w:t>
      </w:r>
    </w:p>
    <w:tbl>
      <w:tblPr>
        <w:tblW w:w="6437" w:type="dxa"/>
        <w:jc w:val="left"/>
        <w:tblInd w:w="0" w:type="dxa"/>
        <w:tblLayout w:type="fixed"/>
        <w:tblCellMar>
          <w:top w:w="28" w:type="dxa"/>
          <w:left w:w="28" w:type="dxa"/>
          <w:bottom w:w="28" w:type="dxa"/>
          <w:right w:w="28" w:type="dxa"/>
        </w:tblCellMar>
      </w:tblPr>
      <w:tblGrid>
        <w:gridCol w:w="983"/>
        <w:gridCol w:w="865"/>
        <w:gridCol w:w="867"/>
        <w:gridCol w:w="109"/>
        <w:gridCol w:w="109"/>
        <w:gridCol w:w="109"/>
        <w:gridCol w:w="211"/>
        <w:gridCol w:w="466"/>
        <w:gridCol w:w="109"/>
        <w:gridCol w:w="109"/>
        <w:gridCol w:w="109"/>
        <w:gridCol w:w="109"/>
        <w:gridCol w:w="301"/>
        <w:gridCol w:w="666"/>
        <w:gridCol w:w="157"/>
        <w:gridCol w:w="109"/>
        <w:gridCol w:w="109"/>
        <w:gridCol w:w="109"/>
        <w:gridCol w:w="211"/>
        <w:gridCol w:w="46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Non-utility LPG and 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Utility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supplies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pPr>
      <w:r>
        <w:rPr>
          <w:rFonts w:ascii="Times New Roman;serif" w:hAnsi="Times New Roman;serif"/>
          <w:b/>
          <w:color w:val="000000"/>
          <w:sz w:val="20"/>
          <w:u w:val="single"/>
        </w:rPr>
        <w:t>Note 7 — Utility Regulatory Assets and Liabilities and Regulatory Matters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description of the Company’s regulatory assets and liabilities, other than those described below, see Note 9 in the Company’s 2025 Annual Report. Other than removal costs, Utilities currently does not recover a rate of return on the regulatory assets listed below. The following regulatory assets and liabilities associated with our Utilities reportable segment are included in our Condensed Consolidated Balance Sheets:</w:t>
      </w:r>
    </w:p>
    <w:tbl>
      <w:tblPr>
        <w:tblW w:w="8311" w:type="dxa"/>
        <w:jc w:val="left"/>
        <w:tblInd w:w="0" w:type="dxa"/>
        <w:tblLayout w:type="fixed"/>
        <w:tblCellMar>
          <w:top w:w="28" w:type="dxa"/>
          <w:left w:w="28" w:type="dxa"/>
          <w:bottom w:w="28" w:type="dxa"/>
          <w:right w:w="28" w:type="dxa"/>
        </w:tblCellMar>
      </w:tblPr>
      <w:tblGrid>
        <w:gridCol w:w="1661"/>
        <w:gridCol w:w="1461"/>
        <w:gridCol w:w="1467"/>
        <w:gridCol w:w="109"/>
        <w:gridCol w:w="109"/>
        <w:gridCol w:w="109"/>
        <w:gridCol w:w="211"/>
        <w:gridCol w:w="466"/>
        <w:gridCol w:w="109"/>
        <w:gridCol w:w="109"/>
        <w:gridCol w:w="109"/>
        <w:gridCol w:w="109"/>
        <w:gridCol w:w="301"/>
        <w:gridCol w:w="666"/>
        <w:gridCol w:w="157"/>
        <w:gridCol w:w="109"/>
        <w:gridCol w:w="109"/>
        <w:gridCol w:w="109"/>
        <w:gridCol w:w="211"/>
        <w:gridCol w:w="46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Regulatory assets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Underfunded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fuel and power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Removal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Regulatory liabilities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fuel and power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benefits — distribution system repairs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federal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rPr>
        <w:t>(a)Regulatory assets are recorded in “Prepaid expenses and other current assets” and “</w:t>
      </w:r>
      <w:r>
        <w:rPr>
          <w:rFonts w:ascii="Times New Roman;serif" w:hAnsi="Times New Roman;serif"/>
          <w:b w:val="false"/>
          <w:color w:val="000000"/>
          <w:sz w:val="18"/>
        </w:rPr>
        <w:t>Other assets”</w:t>
      </w:r>
      <w:r>
        <w:rPr>
          <w:color w:val="000000"/>
        </w:rPr>
        <w:t xml:space="preserve"> </w:t>
      </w:r>
      <w:r>
        <w:rPr>
          <w:rFonts w:ascii="Times New Roman;serif" w:hAnsi="Times New Roman;serif"/>
          <w:b w:val="false"/>
          <w:color w:val="000000"/>
          <w:sz w:val="20"/>
        </w:rPr>
        <w:t>on the Condensed Consolidated Balance Sheets. Regulatory liabilities are recorded in “Other current liabilities” and “Other noncurrent liabilities” on the Condensed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Deferred fuel and power - costs and refunds.</w:t>
      </w:r>
      <w:r>
        <w:rPr>
          <w:color w:val="000000"/>
        </w:rPr>
        <w:t xml:space="preserve"> </w:t>
      </w:r>
      <w:r>
        <w:rPr>
          <w:rFonts w:ascii="Times New Roman;serif" w:hAnsi="Times New Roman;serif"/>
          <w:b w:val="false"/>
          <w:color w:val="000000"/>
          <w:sz w:val="20"/>
        </w:rPr>
        <w:t>Utilities’ tariffs contain clauses that permit recovery of all prudently incurred purchased gas and power costs through the application of PGC rates, PGA rates and DS tariffs. These clauses provide for periodic adjustments to PGC, PGA and DS rates for differences between the total amount of purchased gas and electric generation supply costs billed to customers and recoverable costs incurred. Net underbilled costs are classified as a regulatory asset and net overbillings are classified as a regulatory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 Gas Utility uses derivative instruments to reduce volatility in the cost of gas it purchases for retail core-market customers. Realized and unrealized gains or losses on natural gas derivative instruments are included in deferred fuel and power costs or refunds. Net unrealized gains (losses) on such contracts at June 30, 2026, September 30, 2025 and June 30, 2025 were $(5), $(5) and $1,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UGI Utilities.</w:t>
      </w:r>
      <w:r>
        <w:rPr>
          <w:color w:val="000000"/>
        </w:rPr>
        <w:t> </w:t>
      </w:r>
      <w:r>
        <w:rPr>
          <w:rFonts w:ascii="Times New Roman;serif" w:hAnsi="Times New Roman;serif"/>
          <w:b w:val="false"/>
          <w:color w:val="000000"/>
          <w:sz w:val="20"/>
        </w:rPr>
        <w:t>On March 27, 2026, Electric Utility filed a rate request with the PAPUC to increase its annual base distribution revenues by $17. The increased revenues would fund ongoing system improvements and operations necessary to maintain safe and reliable electric service. Electric Utility requested that the new electric rates become effective June 1, 2026. The PAPUC entered an order on April 16, 2026, suspending the effective date for the rate increase to allow for investigation and public hearings. Unless a settlement is reached sooner, the review process is expected to last up to nine months from the date of filing. The Company cannot predict the timing or the ultimate outcome of the rate case review process.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28, 2026, PA Gas Utility filed a request with the PAPUC to increase its base operating revenues for residential, commercial and industrial customers by $99 annually. On July 6, 2026, a joint petition for approval of settlement of all issues was filed with the PAPUC. It provided for a $65 annual base distribution rate increase, through a phased approach, with an increase of $40 effective October 1, 2026 and an additional increase of $25 effective October 1, 2027. It also provided for maintenance of the weather normalization adjustment through the end of the second pilot period with modification.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pPr>
      <w:r>
        <w:rPr>
          <w:rFonts w:ascii="Times New Roman;serif" w:hAnsi="Times New Roman;serif"/>
          <w:b w:val="false"/>
          <w:color w:val="000000"/>
          <w:sz w:val="20"/>
        </w:rPr>
        <w:t>accordance with the terms of the joint petition, PA Gas Utility will not be permitted to file a general rate increase request prior to January 15, 2029.</w:t>
      </w:r>
      <w:r>
        <w:rPr>
          <w:color w:val="000000"/>
        </w:rPr>
        <w:t xml:space="preserve"> </w:t>
      </w:r>
      <w:r>
        <w:rPr>
          <w:rFonts w:ascii="Times New Roman;serif" w:hAnsi="Times New Roman;serif"/>
          <w:b w:val="false"/>
          <w:color w:val="000000"/>
          <w:sz w:val="20"/>
        </w:rPr>
        <w:t>On July 31, 2026, the presiding PAPUC administrative law judges recommended that the settlement be approved without modification. The joint petition remains subject to receipt of a final order of the PAPUC approving the settlement. The Company cannot predict the timing or the ultimate outcome of the rate case review process.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27, 2025, PA Gas Utility filed a request with the PAPUC to increase its base operating revenues for residential, commercial and industrial customers by $110 annually. On September 11, 2025, the PAPUC issued a final order approving a settlement providing for a $70 annual base distribution rate increase, effective October 28, 2025, and maintenance of the weather normalization adjustment through the end of its pilot period with modification.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Mountaineer. </w:t>
      </w:r>
      <w:r>
        <w:rPr>
          <w:rFonts w:ascii="Times New Roman;serif" w:hAnsi="Times New Roman;serif"/>
          <w:b w:val="false"/>
          <w:color w:val="000000"/>
          <w:sz w:val="20"/>
        </w:rPr>
        <w:t>On February 3, 2026, WV Gas Utility submitted a base rate case filing with the WVPSC seeking a net revenue increase of $27, which consisted of an increase in base rates of $44 and a decrease in the IREP rates of $17 annually. The increased revenues would fund ongoing system improvements and operations necessary to maintain safe and reliable natural gas service. WV Gas Utility requested the new gas rates become effective March 5, 2026. The WVPSC entered an order on March 2, 2026, suspending the effective date for the rate increase to allow for a full review of the filing and public hearings. Unless a settlement is reached sooner, the review process is expected to last up to 270 days from the date of filing. The Company cannot predict the timing or the ultimate outcome of the rate case review process.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2026, WV Gas Utility submitted its 2026 IREP filing to the WVPSC requesting recovery of $14, an increase of $9, for costs associated with capital investments after September 30, 2025, that total $180, including $83 in calendar year 2027. The filing included capital investments totaling $475 over the 2027 - 2031 period. An order from the WVPSC is expected in December with new rates effective January 1, 2027.</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2025, WV Gas Utility submitted its 2025 IREP filing to the WVPSC requesting recovery of $24, an increase of $5, for costs associated with capital investments after December 31, 2022, that total $274, including $77 in calendar year 2026. The filing included capital investments totaling $445 over the 2026 - 2030 period. On December 17, 2025, the WVPSC issued an order approving WV Gas Utility’s request, with new rates effective January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2024, WV Gas Utility submitted its 2024 IREP filing to the WVPSC requesting recovery of $19, which includes $3 of prior year under-recovery, for costs associated with capital investments after December 31, 2022, that total $197, including $74 in calendar year 2025. The filing included capital investments totaling $418 over the 2025 - 2029 period. On October 28, 2024, the WVPSC issued an order approving WV Gas Utility’s request, with new rates effective January 1, 2025.</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8 —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significant financing activities occurred during Fiscal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AmeriGas Propane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AmeriGas Partners Senior Notes. </w:t>
      </w:r>
      <w:r>
        <w:rPr>
          <w:rFonts w:ascii="Times New Roman;serif" w:hAnsi="Times New Roman;serif"/>
          <w:b w:val="false"/>
          <w:color w:val="000000"/>
          <w:sz w:val="20"/>
        </w:rPr>
        <w:t>In May 2026, AmeriGas Partners and AmeriGas Finance Corp. issued $500 aggregate principal amount of 6.875% Senior Notes due June 2031. The net proceeds from the issuance of the 6.875% Senior Notes, together with cash on hand and a $300 equity contribution from UGI, funded through a dividend from UGI International, LLC, were used to (1) repay in full the $512 outstanding principal balance of the 5.750% Senior Notes, due May 2027, pursuant to a tender offer and notice of redemption, plus tender and make-whole premiums and accrued and unpaid interest; (2) repurchase $175 aggregate principal amount of the 9.375% Senior Notes, due June 2028, pursuant to a tender offer, plus tender premiums and accrued and unpaid interest, resulting in $318 aggregate principal amount of 9.375% Senior Notes outstanding as of June 30, 2026; (3) repay in full the $150 outstanding borrowings of the intercompany loan with UGI International, plus accrued and unpaid interest; and (4) pay related fees and expenses. The 6.875% Senior Notes rank equally with AmeriGas Partners’ existing and future senior unsecured indebtedness and contain customary covenants and default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UGI International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UGI International Senior Notes. </w:t>
      </w:r>
      <w:r>
        <w:rPr>
          <w:rFonts w:ascii="Times New Roman;serif" w:hAnsi="Times New Roman;serif"/>
          <w:b w:val="false"/>
          <w:color w:val="000000"/>
          <w:sz w:val="20"/>
        </w:rPr>
        <w:t>In May 2026, UGI International, LLC issued €300 aggregate principal amount of 5.00% Senior Notes due June 2031. The net proceeds from the issuance of the 5.00% Senior Notes, together with the $150 intercompany loan repayment received from AmeriGas Partners, were used to (1) prepay €70 aggregate principal amount of the Term Loan, due March 2028, plus accrued and unpaid interest, resulting in €230 aggregate principal amount of the Term Loan outstanding as of June 30, 2026; (2) pay related fees and expenses; (3) reduce short-term borrowings; and (4) fund general corporate purposes. The 5.00% Senior Notes rank equally with UGI International's existing and future senior unsecured indebtedness, including borrowings under the Credit Facilities Agreement, and contain customary covenants and default provisions. We have designated the UGI International 5.00% Senior Notes as a net investment hedge.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Utilities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UGI Utilities Senior Notes. </w:t>
      </w:r>
      <w:r>
        <w:rPr>
          <w:rFonts w:ascii="Times New Roman;serif" w:hAnsi="Times New Roman;serif"/>
          <w:b w:val="false"/>
          <w:color w:val="000000"/>
          <w:sz w:val="20"/>
        </w:rPr>
        <w:t>In July 2025, UGI Utilities entered into a note purchase agreement with a consortium of lenders. Pursuant to the note purchase agreement, in November 2025, UGI Utilities issued $150 aggregate principal amount of 5.10% Senior Notes due November 15, 2030, and $125 aggregate principal amount of 5.68% Senior Notes due November 15, 2035. UGI Utilities used the net proceeds from the issuance of these senior notes to (1) repay the $100 outstanding principal balance of the 1.59% Senior Notes, due June 2026 and $75 outstanding principal balance of the 1.64% Senior Notes, due September 2026; (2) reduce short-term borrowings; and (3) for general corporate purposes. These senior notes are unsecured and rank equally with UGI Utilities’ existing outstanding senior debt. The note purchase agreement contains customary covenants and default provisions and requires compliance with certain financial covenants including a leverage ratio and priority debt ratio as defined in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2026, UGI Utilities repaid the $100 outstanding principal balance of the 2.95% Senior Notes due June 2026 upon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Midstream &amp; Marketing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Energy Services Term Loan Credit Agreement.</w:t>
      </w:r>
      <w:r>
        <w:rPr>
          <w:color w:val="000000"/>
        </w:rPr>
        <w:t xml:space="preserve"> </w:t>
      </w:r>
      <w:r>
        <w:rPr>
          <w:rFonts w:ascii="Times New Roman;serif" w:hAnsi="Times New Roman;serif"/>
          <w:b w:val="false"/>
          <w:color w:val="000000"/>
          <w:sz w:val="20"/>
        </w:rPr>
        <w:t>In June 2026, Energy Services entered into the fourth amendment to the Energy Services Term Loan Credit Agreement. The Energy Services Term Loan Credit Agreement, as amended, provides, among other items, that the applicable margin shall be 2.00% per annum for Term SOFR loans and 1.00% per annum for base rate loans. All other significant terms of the term loan credit agreement remain unchanged.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Energy Services Receivables Facility.</w:t>
      </w:r>
      <w:r>
        <w:rPr>
          <w:color w:val="000000"/>
        </w:rPr>
        <w:t xml:space="preserve"> </w:t>
      </w:r>
      <w:r>
        <w:rPr>
          <w:rFonts w:ascii="Times New Roman;serif" w:hAnsi="Times New Roman;serif"/>
          <w:b w:val="false"/>
          <w:color w:val="000000"/>
          <w:sz w:val="20"/>
        </w:rPr>
        <w:t xml:space="preserve">Energy Services has a Receivables Facility with an issuer of receivables-backed commercial paper. In October 2025, the expiration date of the Receivables Facility was extended to October 2026. The Receivables Facility provides Energy Services with the ability to borrow up to $150 of eligible receivables during the period October 17, 2025 to April 30, 2026, and up to $75 of eligible receivables during the period May 1, 2026 to October 16, 2026, with the option to request consent for an increase of $50. Energy Services uses the Receivables Facility to fund working capital, margin calls under commodity futures contracts, capital expenditures, dividends and for general corporate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UGI Corporation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UGI Corporation Senior Notes.</w:t>
      </w:r>
      <w:r>
        <w:rPr>
          <w:color w:val="000000"/>
        </w:rPr>
        <w:t xml:space="preserve"> </w:t>
      </w:r>
      <w:r>
        <w:rPr>
          <w:rFonts w:ascii="Times New Roman;serif" w:hAnsi="Times New Roman;serif"/>
          <w:b w:val="false"/>
          <w:color w:val="000000"/>
          <w:sz w:val="20"/>
        </w:rPr>
        <w:t>The Company has $700 aggregate principal amount of outstanding 5.00% UGI Corporation Senior Notes due June 2028. The UGI Corporation Senior Notes are convertible subject to the occurrence of certain events and circumstances. As of June 30, 2026, none of the events permitting the noteholders to convert their notes early existed. Accordingly, the UGI Corporation Senior Notes are classified as “Long-term debt” on the Condensed Consolidated Balance Sheet. For the three and nine months ended June 30, 2026 and 2025, the Company recognized $10 and $30, respectively, in both periods, of interest expense, including amortization of debt issuance costs, related to the UGI Corporation Senior Notes at the effective interest rate of 5.68% for all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long-term debt by using current market rates and by discounting future cash flows using rates available for similar type debt (Level 2). The estimated fair values of the UGI Corporation Senior Notes were $944 and $894 at June 30, 2026 and September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the Company’s 2025 Annual Report for additional information on our UGI Corporation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Loss on Extinguishments of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amendment to the Energy Services Term Loan Credit Agreement and the early repayments of AmeriGas Partners’ Senior Notes, during the third quarter of Fiscal 2026, the Company recognized a pre-tax loss of $15, primarily comprising tender and make whole premiums and the write-off of unamortized debt issuance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2025, pursuant to a tender offer and notice of redemption, AmeriGas Partners repaid in full all AmeriGas Partners’ 5.875% Senior Notes having an aggregate principal balance of $664. During the third quarter of Fiscal 2025, the Company recognized a pre-tax loss of $10, primarily related to AmeriGas Propane, comprising tender and make whole premiums and the write-off of unamortized debt issuance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Losses in connection with early repayment of debt are reflected in “Loss on extinguishments of debt” on the Condensed Consolidated Statements of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Cash Flow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regularly uses its credit facilities (other than the UGI Corporation 2025 Credit Agreement) and, in the case of Energy Services, the Receivables Facility, to support its working capital needs with borrowings of $1,809 and repayments of $1,958 during the nine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pPr>
      <w:r>
        <w:rPr>
          <w:rFonts w:ascii="Times New Roman;serif" w:hAnsi="Times New Roman;serif"/>
          <w:b/>
          <w:color w:val="000000"/>
          <w:sz w:val="20"/>
          <w:u w:val="single"/>
        </w:rPr>
        <w:t>Note 9 — Commitments and Contingencies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UGI Utilities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From the late 1800s through the mid-1900s, UGI Utilities and its former subsidiaries owned and operated a number of MGPs prior to the general availability of natural gas. Some constituents of coal tars and other residues of the manufactured gas process are today considered hazardous substances under the Superfund Law and may be present on the sites of former MGPs. Between 1882 and 1953, UGI Utilities owned the stock of subsidiary gas companies in Pennsylvania and elsewhere and also operated the businesses of some gas companies under agreement. By the early 1950s, UGI Utilities divested all of its utility operations other than certain gas and electric operations. Beginning in 2006 and 2008, UGI Utilities also owned and operated two acquired subsidiaries, with similar histories of owning, and in some cases operating, MGPs in Pennsylvania.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UGI Utilities is subject to a COA with the PADEP to address the remediation of specified former MGP sites in Pennsylvania, which is scheduled to terminate at the end of 2035. In accordance with the COA, UGI Utilities is required to either obtain a certain number of points per calendar year based on defined eligible environmental investigatory and/or remedial activities at the MGPs, or make expenditures for such activities in an amount equal to an annual environmental minimum expenditure threshold. The annual minimum expenditure threshold of the COA is $5. At June 30, 2026, September 30, 2025 and June 30, 2025, our aggregate estimated accrued liabilities for environmental investigation and remediation costs related to the COA totaled $66, $63 and $53,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expect the costs for investigation and remediation of hazardous substances at Pennsylvania MGP sites to be material to UGI Utilities’ results of operations because UGI Utilities receives ratemaking recovery of actual environmental investigation and remediation costs associated with the sites covered by the COA. This ratemaking recognition reconciles the accumulated difference between historical costs and rate recoveries with an estimate of future costs associated with the sites. As such, UGI Utilities has recorded an associated regulatory asset for these costs because recovery of these costs from customers is probable (see Note 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UGI Utilities is notified of sites outside Pennsylvania on which private parties allege MGPs were formerly owned or operated by UGI Utilities or owned or operated by a former subsidiary. Such parties generally investigate the extent of environmental contamination or perform environmental remediation. Management believes that under applicable law, UGI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should not be liable in those instances in which a former subsidiary owned or operated an MGP. There could be, however, significant future costs of an uncertain amount associated with environmental damage caused by MGPs outside Pennsylvania that UGI Utilities directly operated, or that were owned or operated by a former subsidiary of UGI Utilities if a court were to conclude that (1) the subsidiary’s separate corporate form should be disregarded, or (2) UGI Utilities should be considered to have been an operator because of its conduct with respect to its subsidiary’s MGP. Neither the undiscounted nor the accrued liability for environmental investigation and cleanup costs for UGI Utilities’ MGP sites outside Pennsylvania were material for all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AmeriGas Propane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AmeriGas OLP Saranac Lake. </w:t>
      </w:r>
      <w:r>
        <w:rPr>
          <w:rFonts w:ascii="Times New Roman;serif" w:hAnsi="Times New Roman;serif"/>
          <w:b w:val="false"/>
          <w:color w:val="000000"/>
          <w:sz w:val="20"/>
        </w:rPr>
        <w:t>In 2008, the NYDEC notified AmeriGas OLP that the NYDEC had placed property purportedly owned by AmeriGas OLP in Saranac Lake, New York on the New York State Registry of Inactive Hazardous Waste Disposal Sites. A site characterization study performed by the NYDEC disclosed contamination related to a former MGP. AmeriGas OLP responded to the NYDEC in 2009 to dispute the contention it was a PRP as it did not operate the MGP and appeared to only own a portion of the site. In 2017, the NYDEC communicated to AmeriGas OLP that the NYDEC had previously issued three RODs related to remediation of the site totaling approximately $28 and requested additional information regarding AmeriGas OLP’s purported ownership. AmeriGas OLP renewed its challenge to designation as a PRP and identified potential defenses. The NYDEC subsequently identified a third party PRP with respect to the site.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NYDEC commenced implementation of the remediation plan in the spring of 2018. In Fiscal 2024, the NYDEC informed AmeriGas OLP that the remediation plan had been completed at a total cost of approximately $19.</w:t>
      </w:r>
      <w:r>
        <w:rPr>
          <w:color w:val="000000"/>
        </w:rPr>
        <w:t xml:space="preserve"> </w:t>
      </w:r>
      <w:r>
        <w:rPr>
          <w:rFonts w:ascii="Times New Roman;serif" w:hAnsi="Times New Roman;serif"/>
          <w:b w:val="false"/>
          <w:color w:val="000000"/>
          <w:sz w:val="20"/>
        </w:rPr>
        <w:t xml:space="preserve">The New York Office of the Attorney General, as counsel for the NYDEC, invited AmeriGas OLP to participate in settlement discussions. We have a settlement agreement in principle that is being finalized.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West Reading, Pennsylvania Explosion</w:t>
      </w:r>
      <w:r>
        <w:rPr>
          <w:rFonts w:ascii="Times New Roman;serif" w:hAnsi="Times New Roman;serif"/>
          <w:b/>
          <w:color w:val="000000"/>
          <w:sz w:val="20"/>
        </w:rPr>
        <w:t xml:space="preserve">. </w:t>
      </w:r>
      <w:r>
        <w:rPr>
          <w:rFonts w:ascii="Times New Roman;serif" w:hAnsi="Times New Roman;serif"/>
          <w:b w:val="false"/>
          <w:color w:val="000000"/>
          <w:sz w:val="20"/>
        </w:rPr>
        <w:t xml:space="preserve">On March 24, 2023, an explosion occurred in West Reading, Pennsylvania which resulted in seven fatalities, injuries to at least ten others, and extensive property damage to buildings owned by R.M. Palmer, a local chocolate manufacturer, and neighboring structures. The NTSB and PAPUC investigated the West Reading incident. The NTSB investigative team included representatives from the Company, the local fire department and the Pipeline and Hazardous Materials Safety Administration. The Company cooperated with the investigations. In September 2023, OSHA closed their investigation of this matter, without any finding pertaining to UGI Utilities.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10, 2024, the NTSB staff presented its draft findings to the NTSB Board. On April 8, 2025, the NTSB released its final report concluding that a fracture in an R.M. Palmer steam pipe created elevated underground temperatures that caused thermal degradation of a UGI Utilities service tee, resulting in a natural gas leak, and recommended UGI Utilities inventory and address risks to plastic gas assets in high-temperature environments.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the PAPUC filed a formal complaint against UGI Utilities. The complaint alleges various pipeline safety violations and seeks civil penalties. The Company is vigorously defending against the allegations in the complaint. The Company does not believe the resolution of this matter will have a material adverse effect on its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received claims as a result of the explosion and is involved in lawsuits relative to the incident. With the issuance of the final NTSB report, discovery in the litigation has begun. The Company maintains liability insurance for personal injury, property and casualty damages and believes that third-party claims associated with the explosion, in excess of the Company’s deductible, are recoverable through the Company’s insurance. The Company cannot predict the result of these pending or future claims and legal actions at this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Regarding these pending claims and legal actions, other than as disclosed above, the Company does not believe, at this early stage, that there is sufficient information available to reasonably estimate a range of loss, if any, or conclude that the final outcome of all of these matters will or will not have a material adverse effect on our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described above, there are other pending claims and legal actions arising in the normal course of our businesses. Although we cannot predict the final results of these pending claims and legal actions, including those described above, we believe, after consultation with counsel, that the final outcome of these matters will not have a material effect on our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pPr>
      <w:r>
        <w:rPr>
          <w:rFonts w:ascii="Times New Roman;serif" w:hAnsi="Times New Roman;serif"/>
          <w:b/>
          <w:color w:val="000000"/>
          <w:sz w:val="20"/>
          <w:u w:val="single"/>
        </w:rPr>
        <w:t>Note 10 — Fair Value Measurements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on a gross basis, our financial assets and liabilities, including both current and noncurrent portions, that are measured at fair value on a recurring basis within the fair value hierarchy:</w:t>
      </w:r>
    </w:p>
    <w:tbl>
      <w:tblPr>
        <w:tblW w:w="9552" w:type="dxa"/>
        <w:jc w:val="left"/>
        <w:tblInd w:w="0" w:type="dxa"/>
        <w:tblLayout w:type="fixed"/>
        <w:tblCellMar>
          <w:top w:w="28" w:type="dxa"/>
          <w:left w:w="28" w:type="dxa"/>
          <w:bottom w:w="28" w:type="dxa"/>
          <w:right w:w="28" w:type="dxa"/>
        </w:tblCellMar>
      </w:tblPr>
      <w:tblGrid>
        <w:gridCol w:w="1869"/>
        <w:gridCol w:w="1648"/>
        <w:gridCol w:w="1658"/>
        <w:gridCol w:w="109"/>
        <w:gridCol w:w="109"/>
        <w:gridCol w:w="109"/>
        <w:gridCol w:w="196"/>
        <w:gridCol w:w="496"/>
        <w:gridCol w:w="109"/>
        <w:gridCol w:w="109"/>
        <w:gridCol w:w="109"/>
        <w:gridCol w:w="109"/>
        <w:gridCol w:w="196"/>
        <w:gridCol w:w="406"/>
        <w:gridCol w:w="109"/>
        <w:gridCol w:w="109"/>
        <w:gridCol w:w="109"/>
        <w:gridCol w:w="109"/>
        <w:gridCol w:w="196"/>
        <w:gridCol w:w="406"/>
        <w:gridCol w:w="109"/>
        <w:gridCol w:w="109"/>
        <w:gridCol w:w="109"/>
        <w:gridCol w:w="109"/>
        <w:gridCol w:w="196"/>
        <w:gridCol w:w="49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 (Liability)</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Non-qualified supplemental postretirement grantor trust investments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Non-qualified supplemental postretirement grantor trust investments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Non-qualified supplemental postretirement grantor trust investments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(a)Consists primarily of mutual fund investments held in grantor trusts associated with non-qualified supplemental retirement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values of our Level 1 exchange-traded commodity futures and option contracts and non-exchange-traded commodity futures and forward contracts are based upon actively quoted market prices for identical assets and liabilities. Substantially all of the remaining derivative instruments are designated as Level 2. The fair values of certain non-exchange-traded commodity derivatives designated as Level 2 are based upon indicative price quotations available through brokers, industry price publications or recent market transactions and related market indicators. The fair values of our Level 2 interest rate contracts and foreign currency contracts are based upon third-party quotes or indicative values based on recent market transactions. The fair values of investments held in grantor trusts are derived from quoted market prices as substantially all of the investments in these trusts have active markets.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Nonrecurring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in connection with the disposition of the LPG distribution businesses in Czech Republic, Hungary, Poland and Slovakia, we recognized a non-cash, pre-tax impairment charge of $64, to reduce the carrying amount of the long-lived assets included in the disposal groups to their estimated fair values. The Company determined the estimated fair value of such assets fell within Level 2 of the fair value hierarchy and was based upon the estimated sales price. See Note 5 for additional information on these transactions.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amounts of other financial instruments included in current assets and current liabilities (except for current maturities of long-term debt) approximate their fair values because of their short-term nature. We estimate the fair value of long-term debt by using current market rates and by discounting future cash flows using rates available for similar type debt (Level 2). The carrying amounts and estimated fair values of our long-term debt (including current maturities but excluding unamortized debt issuance costs) were as follows:</w:t>
      </w:r>
    </w:p>
    <w:tbl>
      <w:tblPr>
        <w:tblW w:w="6652" w:type="dxa"/>
        <w:jc w:val="center"/>
        <w:tblInd w:w="0" w:type="dxa"/>
        <w:tblLayout w:type="fixed"/>
        <w:tblCellMar>
          <w:top w:w="28" w:type="dxa"/>
          <w:left w:w="28" w:type="dxa"/>
          <w:bottom w:w="28" w:type="dxa"/>
          <w:right w:w="28" w:type="dxa"/>
        </w:tblCellMar>
      </w:tblPr>
      <w:tblGrid>
        <w:gridCol w:w="629"/>
        <w:gridCol w:w="554"/>
        <w:gridCol w:w="557"/>
        <w:gridCol w:w="280"/>
        <w:gridCol w:w="820"/>
        <w:gridCol w:w="145"/>
        <w:gridCol w:w="109"/>
        <w:gridCol w:w="109"/>
        <w:gridCol w:w="109"/>
        <w:gridCol w:w="387"/>
        <w:gridCol w:w="1135"/>
        <w:gridCol w:w="202"/>
        <w:gridCol w:w="109"/>
        <w:gridCol w:w="109"/>
        <w:gridCol w:w="109"/>
        <w:gridCol w:w="277"/>
        <w:gridCol w:w="810"/>
        <w:gridCol w:w="20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other than derivative instruments, such as short-term investments and trade accounts receivable, could expose us to concentrations of credit risk. We limit credit risk from short-term investments by investing only in investment-grade commercial paper, money market mutual funds, securities guaranteed by the U.S. Government or its agencies and FDIC insured bank deposits. The credit risk arising from concentrations of trade accounts receivable is limited because we have a large customer base that extends across many different U.S. markets and a number of foreign countries. See Note 11 for information regarding concentrations of credit risk associated with our derivative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pPr>
      <w:r>
        <w:rPr>
          <w:rFonts w:ascii="Times New Roman;serif" w:hAnsi="Times New Roman;serif"/>
          <w:b/>
          <w:color w:val="000000"/>
          <w:sz w:val="20"/>
          <w:u w:val="single"/>
        </w:rPr>
        <w:t>Note 11 — Derivative Instruments and Hedging Activities</w:t>
      </w:r>
      <w:r>
        <w:rPr>
          <w:color w:val="000000"/>
        </w:rPr>
        <w:t xml:space="preserve"> </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related to our ongoing business operations. Management uses derivative financial and commodity instruments, among other things, to manage: (1) commodity price risk; (2) interest rate risk; and (3) foreign currency exchange rate risk. Although we use derivative financial and commodity instruments to reduce market risk associated with forecasted transactions, we do not use derivative financial and commodity instruments for speculative or trading purposes. The use of derivative instruments is controlled by our risk management and credit policies, which govern, among other things, the derivative instruments we can use, counterparty credit limits and contract authorization limits. Although our commodity derivative instruments extend over a number of years, a significant portion of our commodity derivative instruments economically hedge commodity price risk during the next twelve months. See Note 2 for information on the accounting for our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sections summarize the types of derivative instruments used by the Company to manage these market risks.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Regulated Utility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Natural Gas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 Gas Utility’s tariffs contain clauses that permit recovery of all prudently incurred costs of natural gas it sells to retail core-market customers, including the cost of financial instruments used to hedge purchased gas costs. As permitted and agreed to by the PAPUC pursuant to PA Gas Utility’s annual PGC filings, PA Gas Utility currently uses NYMEX natural gas futures and option contracts to reduce commodity price volatility associated with a portion of the natural gas it purchases for its retail core-market customers. See Note 7 for further information on the regulatory accounting treatment for these derivative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Non-utility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LPG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manage market price risk associated with the Partnership’s fixed-price programs and to reduce the effects of short-term commodity price volatility, the Partnership uses over-the-counter derivative commodity instruments, principally price swap contracts. In addition, the Partnership and our UGI International operations also use over-the-counter price swap and option contracts to reduce commodity price volatility associated with a portion of their forecasted LPG purchases.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Natural Gas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manage market price risk relating to fixed-price sales contracts for physical natural gas, Midstream &amp; Marketing enters into NYMEX and over-the-counter natural gas futures and over-the-counter and ICE natural gas basis swap contracts. In addition, Midstream &amp; Marketing uses NYMEX and over-the-counter futures and options contracts to economically hedge price volatility associated with the gross margin derived from the purchase and anticipated later near-term sale of natural gas storage inventories. Outside of the financial market, Midstream &amp; Marketing also uses ICE and over-the-counter forward physical contracts.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Electricity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manage market price risk relating to fixed-price sales contracts for electricity, Midstream &amp; Marketing enters into electricity futures and forward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long-term debt agreements have interest rates that are generally indexed to short-term market interest rates. In order to fix the underlying short-term market interest rates, we may enter into pay-fixed, receive-variable interest rate swap agreements and designate such swaps as 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remainder of our long-term debt is typically issued at fixed rates of interest. As this long-term debt matures, we typically refinance such debt with new debt having interest rates reflecting then-current market conditions. In order to reduce market rate risk on the underlying benchmark rate of interest associated with near- to medium-term forecasted issuances of fixed-rate debt, from time to time we enter into IRPAs. We account for IRPAs as cash flow hedges. There were no unsettled IRPAs during any of the periods presented. At June 30, 2026, the amount of pre-tax net (gains) losses associated with interest rate hedges expected to be reclassified into earnings during the next twelve months is not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Forward Foreign Currency Exchange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reduce the volatility in net income associated with our foreign operations, principally as a result of changes in the USD exchange rate to the euro and British pound sterling, we enter into forward foreign currency exchange contracts. We layer in these foreign currency exchange contracts over multi-year periods to eventually equal approximately 90% of anticipated UGI International foreign currency earnings before income taxes. Because these contracts are not designated as hedging instruments, realized and unrealized gains and losses on these contracts are recorded in “Other non-operating income (expense), net” on the Condensed Consolidated Statements of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Investment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also enter into certain forward foreign currency exchange contracts to reduce the volatility of the USD value of a portion of our UGI International euro-denominated net investments, including anticipated foreign currency denominated dividends. We account for these foreign currency exchange contracts as net investment hedges and all changes in the fair value of these contracts are reported in the cumulative translation adjustment component in AOCI. We use the spot rate method to measure ineffectiveness of our net investment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euro-denominated long-term debt has also been designated as net investment hedges, representing a portion of our UGI International euro-denominated net investment. We recognized pre-tax gains (losses) associated with these net investment hedges in the cumulative translation adjustment component in AOCI of $13 and $(68) during the three months ended June 30, 2026 and 2025, respectively, and $26 and $(46) during the nine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Quantitative Disclosures Related to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by derivative type the gross notional amounts related to open derivative contracts at June 30, 2026, September 30, 2025 and June 30, 2025, and the final settlement dates of the Company's open derivative contracts as of June 30, 2026, but excluding those derivatives that qualified for the NPNS exception:</w:t>
      </w:r>
    </w:p>
    <w:tbl>
      <w:tblPr>
        <w:tblW w:w="10205" w:type="dxa"/>
        <w:jc w:val="center"/>
        <w:tblInd w:w="0" w:type="dxa"/>
        <w:tblLayout w:type="fixed"/>
        <w:tblCellMar>
          <w:top w:w="28" w:type="dxa"/>
          <w:left w:w="28" w:type="dxa"/>
          <w:bottom w:w="28" w:type="dxa"/>
          <w:right w:w="28" w:type="dxa"/>
        </w:tblCellMar>
      </w:tblPr>
      <w:tblGrid>
        <w:gridCol w:w="925"/>
        <w:gridCol w:w="811"/>
        <w:gridCol w:w="822"/>
        <w:gridCol w:w="109"/>
        <w:gridCol w:w="109"/>
        <w:gridCol w:w="109"/>
        <w:gridCol w:w="378"/>
        <w:gridCol w:w="378"/>
        <w:gridCol w:w="382"/>
        <w:gridCol w:w="109"/>
        <w:gridCol w:w="109"/>
        <w:gridCol w:w="109"/>
        <w:gridCol w:w="517"/>
        <w:gridCol w:w="517"/>
        <w:gridCol w:w="518"/>
        <w:gridCol w:w="109"/>
        <w:gridCol w:w="109"/>
        <w:gridCol w:w="109"/>
        <w:gridCol w:w="247"/>
        <w:gridCol w:w="674"/>
        <w:gridCol w:w="119"/>
        <w:gridCol w:w="109"/>
        <w:gridCol w:w="109"/>
        <w:gridCol w:w="109"/>
        <w:gridCol w:w="283"/>
        <w:gridCol w:w="772"/>
        <w:gridCol w:w="137"/>
        <w:gridCol w:w="109"/>
        <w:gridCol w:w="109"/>
        <w:gridCol w:w="109"/>
        <w:gridCol w:w="246"/>
        <w:gridCol w:w="671"/>
        <w:gridCol w:w="173"/>
      </w:tblGrid>
      <w:tr>
        <w:trPr/>
        <w:tc>
          <w:tcPr>
            <w:tcW w:w="92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Amounts</w:t>
              <w:br/>
              <w:t>(in millions)</w:t>
            </w:r>
          </w:p>
        </w:tc>
      </w:tr>
      <w:tr>
        <w:trPr/>
        <w:tc>
          <w:tcPr>
            <w:tcW w:w="2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Settlements Extending Through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5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 Price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Regulated Utility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 Gas Utility NYMEX natural gas futures and option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Dekatherms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Non-utility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LPG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Gallons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futures, forward, basis swap, options and pipeline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Dekatherms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Electricity forward and futures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Kilowatt hours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Exchange Rate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 forward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risk of loss in the event of nonperformance by our derivative instrument counterparties. Our derivative instrument counterparties principally comprise large energy companies and major U.S. and international financial institutions. We maintain credit policies with regard to our counterparties that we believe reduce overall credit risk. These policies include evaluating and monitoring our counterparties’ financial condition, including their credit ratings, and entering into agreements with counterparties that govern credit limits or entering into netting agreements that allow for offsetting counterparty receivable and payable balances for certain financial transactions, as deemed appropriate.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concentrations of credit risk associated with derivative instruments and we evaluate the creditworthiness of our derivative counterparties on an ongoing basis. At June 30, 2026, the maximum amount of loss, based upon the gross fair values of the derivative instruments, we would incur if these counterparties failed to perform according to the terms of their contracts was $112. In general, many of our over-the-counter derivative instruments and all exchange contracts call for the posting of collateral by the counterparty or by the Company in the forms of letters of credit, parental guarantees or cash. At June 30, 2026, we had received cash collateral from derivative instrument counterparties totaling $1. In addition, we may have offsetting derivative liabilities and certain accounts payable balances with certain of these counterparties, which further mitigates the previously mentioned maximum amount of losses. Certain of the Partnership’s derivative contracts have credit-risk-related contingent features that may require the posting of additional collateral in the event of a downgrade of the Partnership’s debt rating. At June 30, 2026, if the credit-risk-related contingent features were triggered, the amount of collateral required to be posted would not be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Offsetting Derivative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Derivative assets and liabilities are presented net by counterparty on the Condensed Consolidated Balance Sheets if the right of offset exists. We offset amounts recognized for the right to reclaim cash collateral or the obligation to return cash collateral against amounts recognized for derivative instruments executed with the same counterparty. Our derivative instruments include both those that are executed on an exchange through brokers and centrally cleared and over-the-counter transactions. Exchange contracts utilize a financial intermediary, exchange or clearinghouse to enter, execute or clear the transactions. Over-the-counter contracts are bilateral contracts that are transacted directly with a third party. Certain over-the-counter and exchange contracts contain contractual rights of offset through master netting arrangements, derivative clearing agreements and contract default provisions. In addition, the contracts are subject to conditional rights of offset through counterparty nonperformance, insolvency or other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general, many of our over-the-counter transactions and all exchange contracts are subject to collateral requirements. Types of collateral generally include cash or letters of credit. Cash collateral paid by us to our over-the-counter derivative counterparties, if any, is reflected in the table below to offset derivative liabilities. Cash collateral received by us from our over-the-counter derivative counterparties, if any, is reflected in the table below to offset derivative assets. Certain other accounts receivable and accounts payable balances recognized on the Condensed Consolidated Balance Sheets with our derivative counterparties are not included in the table below but could reduce our net exposure to such counterparties because such balances are subject to master netting or similar arrangements.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assets and liabilities by type, as well as the effects of offsetting:</w:t>
      </w:r>
    </w:p>
    <w:tbl>
      <w:tblPr>
        <w:tblW w:w="8239" w:type="dxa"/>
        <w:jc w:val="left"/>
        <w:tblInd w:w="0" w:type="dxa"/>
        <w:tblLayout w:type="fixed"/>
        <w:tblCellMar>
          <w:top w:w="28" w:type="dxa"/>
          <w:left w:w="28" w:type="dxa"/>
          <w:bottom w:w="28" w:type="dxa"/>
          <w:right w:w="28" w:type="dxa"/>
        </w:tblCellMar>
      </w:tblPr>
      <w:tblGrid>
        <w:gridCol w:w="1592"/>
        <w:gridCol w:w="1400"/>
        <w:gridCol w:w="1403"/>
        <w:gridCol w:w="109"/>
        <w:gridCol w:w="109"/>
        <w:gridCol w:w="109"/>
        <w:gridCol w:w="217"/>
        <w:gridCol w:w="450"/>
        <w:gridCol w:w="112"/>
        <w:gridCol w:w="109"/>
        <w:gridCol w:w="109"/>
        <w:gridCol w:w="109"/>
        <w:gridCol w:w="381"/>
        <w:gridCol w:w="681"/>
        <w:gridCol w:w="198"/>
        <w:gridCol w:w="109"/>
        <w:gridCol w:w="109"/>
        <w:gridCol w:w="109"/>
        <w:gridCol w:w="217"/>
        <w:gridCol w:w="449"/>
        <w:gridCol w:w="158"/>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subject to PGC and DS mechanisms: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 —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 in the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subject to PGC and DS mechanisms: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 —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 in the balance sheet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 pledged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Effects of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on the effects of derivative instruments on the Condensed Consolidated Statements of Income and changes in AOCI:</w:t>
      </w:r>
    </w:p>
    <w:tbl>
      <w:tblPr>
        <w:tblW w:w="10205" w:type="dxa"/>
        <w:jc w:val="center"/>
        <w:tblInd w:w="0" w:type="dxa"/>
        <w:tblLayout w:type="fixed"/>
        <w:tblCellMar>
          <w:top w:w="28" w:type="dxa"/>
          <w:left w:w="28" w:type="dxa"/>
          <w:bottom w:w="28" w:type="dxa"/>
          <w:right w:w="28" w:type="dxa"/>
        </w:tblCellMar>
      </w:tblPr>
      <w:tblGrid>
        <w:gridCol w:w="1250"/>
        <w:gridCol w:w="970"/>
        <w:gridCol w:w="974"/>
        <w:gridCol w:w="109"/>
        <w:gridCol w:w="109"/>
        <w:gridCol w:w="109"/>
        <w:gridCol w:w="211"/>
        <w:gridCol w:w="436"/>
        <w:gridCol w:w="109"/>
        <w:gridCol w:w="109"/>
        <w:gridCol w:w="109"/>
        <w:gridCol w:w="109"/>
        <w:gridCol w:w="211"/>
        <w:gridCol w:w="537"/>
        <w:gridCol w:w="109"/>
        <w:gridCol w:w="109"/>
        <w:gridCol w:w="109"/>
        <w:gridCol w:w="109"/>
        <w:gridCol w:w="226"/>
        <w:gridCol w:w="275"/>
        <w:gridCol w:w="117"/>
        <w:gridCol w:w="117"/>
        <w:gridCol w:w="117"/>
        <w:gridCol w:w="117"/>
        <w:gridCol w:w="226"/>
        <w:gridCol w:w="275"/>
        <w:gridCol w:w="121"/>
        <w:gridCol w:w="109"/>
        <w:gridCol w:w="109"/>
        <w:gridCol w:w="109"/>
        <w:gridCol w:w="729"/>
        <w:gridCol w:w="729"/>
        <w:gridCol w:w="1041"/>
      </w:tblGrid>
      <w:tr>
        <w:trPr/>
        <w:tc>
          <w:tcPr>
            <w:tcW w:w="125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Gain (Loss) </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w:t>
              <w:br/>
              <w:t>Reclassified from</w:t>
              <w:br/>
              <w:t>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 Reclassified from</w:t>
              <w:br/>
              <w:t>AOCI into Income</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w:t>
              <w:br/>
              <w:t>Recognized in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Recognized in Income</w:t>
            </w:r>
          </w:p>
        </w:tc>
      </w:tr>
      <w:tr>
        <w:trPr/>
        <w:tc>
          <w:tcPr>
            <w:tcW w:w="3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799" w:type="dxa"/>
            <w:gridSpan w:val="12"/>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 net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w:t>
              <w:br/>
              <w:t>Reclassified from</w:t>
              <w:br/>
              <w:t>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 Reclassified from</w:t>
              <w:br/>
              <w:t>AOCI into Income</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w:t>
              <w:br/>
              <w:t>Recognized in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Recognized in Income</w:t>
            </w:r>
          </w:p>
        </w:tc>
      </w:tr>
      <w:tr>
        <w:trPr/>
        <w:tc>
          <w:tcPr>
            <w:tcW w:w="3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799" w:type="dxa"/>
            <w:gridSpan w:val="12"/>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 net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a party to a number of other contracts that have elements of a derivative instrument. However, these contracts qualify for NPNS exception accounting because they provide for the delivery of products or services in quantities that are expected to be used in the normal course of operating our business and the price in these contracts are based on an underlying that is directly associated with the price of the product or service being purchased or sold. These contracts include, among others, binding purchase orders, contracts that provide for the purchase and delivery, or sale, of energy products, and service contracts that require the counterparty to provide commodity storage, transportation or capacity service to meet our normal sales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12 — Accumulated Other Comprehensive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changes in AOCI, net of tax:</w:t>
      </w:r>
    </w:p>
    <w:p>
      <w:pPr>
        <w:pStyle w:val="TextBody"/>
        <w:bidi w:val="0"/>
        <w:spacing w:before="100" w:after="283"/>
        <w:jc w:val="both"/>
        <w:rPr/>
      </w:pPr>
      <w:r>
        <w:rPr/>
      </w:r>
    </w:p>
    <w:tbl>
      <w:tblPr>
        <w:tblW w:w="10205" w:type="dxa"/>
        <w:jc w:val="center"/>
        <w:tblInd w:w="0" w:type="dxa"/>
        <w:tblLayout w:type="fixed"/>
        <w:tblCellMar>
          <w:top w:w="28" w:type="dxa"/>
          <w:left w:w="28" w:type="dxa"/>
          <w:bottom w:w="28" w:type="dxa"/>
          <w:right w:w="28" w:type="dxa"/>
        </w:tblCellMar>
      </w:tblPr>
      <w:tblGrid>
        <w:gridCol w:w="1568"/>
        <w:gridCol w:w="1132"/>
        <w:gridCol w:w="1142"/>
        <w:gridCol w:w="109"/>
        <w:gridCol w:w="109"/>
        <w:gridCol w:w="109"/>
        <w:gridCol w:w="518"/>
        <w:gridCol w:w="888"/>
        <w:gridCol w:w="271"/>
        <w:gridCol w:w="109"/>
        <w:gridCol w:w="109"/>
        <w:gridCol w:w="109"/>
        <w:gridCol w:w="417"/>
        <w:gridCol w:w="746"/>
        <w:gridCol w:w="217"/>
        <w:gridCol w:w="109"/>
        <w:gridCol w:w="109"/>
        <w:gridCol w:w="109"/>
        <w:gridCol w:w="279"/>
        <w:gridCol w:w="691"/>
        <w:gridCol w:w="144"/>
        <w:gridCol w:w="109"/>
        <w:gridCol w:w="109"/>
        <w:gridCol w:w="109"/>
        <w:gridCol w:w="211"/>
        <w:gridCol w:w="514"/>
        <w:gridCol w:w="159"/>
      </w:tblGrid>
      <w:tr>
        <w:trPr/>
        <w:tc>
          <w:tcPr>
            <w:tcW w:w="156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attributable to UGI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attributable to UGI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attributable to UGI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attributable to UGI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u w:val="single"/>
        </w:rPr>
        <w:t>Note 13 — Segment Information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operations comprise four reportable segments generally based upon products or services sold, geographic location and regulatory environment: (1) Utilities; (2) Midstream &amp; Marketing; (3) UGI International; and (4) AmeriGas Propane.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&amp; Other includes UGI’s certain corporate and general expenses as well as interest expense that is not allocated to its reportable segments. Corporate &amp; Other also includes certain items that are excluded from our CODM’s assessment of segment performance (see below for further details on these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our reportable segments are the same as those described in Note 2, “Summary of Significant Accounting Policies,” in the Company’s 2025 Annual Report. Our Chief Executive Officer, who serves as the CODM, measures segment profitability based on “earnings before interest expense and income taxes.” The CODM uses this financial metric by comparing current period results to budgeted and prior year results at the reportable segment level to assess the segment performance and to allocate resources between the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reportable segments and the reconciliation to corresponding consolidated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2"/>
        <w:gridCol w:w="344"/>
        <w:gridCol w:w="347"/>
        <w:gridCol w:w="109"/>
        <w:gridCol w:w="109"/>
        <w:gridCol w:w="109"/>
        <w:gridCol w:w="196"/>
        <w:gridCol w:w="556"/>
        <w:gridCol w:w="109"/>
        <w:gridCol w:w="109"/>
        <w:gridCol w:w="109"/>
        <w:gridCol w:w="109"/>
        <w:gridCol w:w="277"/>
        <w:gridCol w:w="574"/>
        <w:gridCol w:w="154"/>
        <w:gridCol w:w="109"/>
        <w:gridCol w:w="109"/>
        <w:gridCol w:w="109"/>
        <w:gridCol w:w="196"/>
        <w:gridCol w:w="421"/>
        <w:gridCol w:w="109"/>
        <w:gridCol w:w="109"/>
        <w:gridCol w:w="109"/>
        <w:gridCol w:w="109"/>
        <w:gridCol w:w="297"/>
        <w:gridCol w:w="639"/>
        <w:gridCol w:w="166"/>
        <w:gridCol w:w="109"/>
        <w:gridCol w:w="109"/>
        <w:gridCol w:w="109"/>
        <w:gridCol w:w="278"/>
        <w:gridCol w:w="599"/>
        <w:gridCol w:w="156"/>
        <w:gridCol w:w="109"/>
        <w:gridCol w:w="109"/>
        <w:gridCol w:w="109"/>
        <w:gridCol w:w="214"/>
        <w:gridCol w:w="461"/>
        <w:gridCol w:w="121"/>
        <w:gridCol w:w="109"/>
        <w:gridCol w:w="109"/>
        <w:gridCol w:w="109"/>
        <w:gridCol w:w="229"/>
        <w:gridCol w:w="512"/>
        <w:gridCol w:w="189"/>
      </w:tblGrid>
      <w:tr>
        <w:trPr/>
        <w:tc>
          <w:tcPr>
            <w:tcW w:w="7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Eliminations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AmeriGas</w:t>
              <w:br/>
              <w:t>Propane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br/>
              <w:t>&amp; Other (d)</w:t>
            </w:r>
          </w:p>
        </w:tc>
      </w:tr>
      <w:tr>
        <w:trPr/>
        <w:tc>
          <w:tcPr>
            <w:tcW w:w="14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and administrative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income (loss)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(loss) before interest expense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UGI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(including the effects of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Eliminations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AmeriGas</w:t>
              <w:br/>
              <w:t>Propane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br/>
              <w:t>&amp; Other (d)</w:t>
            </w:r>
          </w:p>
        </w:tc>
      </w:tr>
      <w:tr>
        <w:trPr/>
        <w:tc>
          <w:tcPr>
            <w:tcW w:w="14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and administrative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income (loss)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(loss)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UGI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(including the effects of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tbl>
      <w:tblPr>
        <w:tblW w:w="10205" w:type="dxa"/>
        <w:jc w:val="left"/>
        <w:tblInd w:w="0" w:type="dxa"/>
        <w:tblLayout w:type="fixed"/>
        <w:tblCellMar>
          <w:top w:w="28" w:type="dxa"/>
          <w:left w:w="28" w:type="dxa"/>
          <w:bottom w:w="28" w:type="dxa"/>
          <w:right w:w="28" w:type="dxa"/>
        </w:tblCellMar>
      </w:tblPr>
      <w:tblGrid>
        <w:gridCol w:w="720"/>
        <w:gridCol w:w="273"/>
        <w:gridCol w:w="276"/>
        <w:gridCol w:w="109"/>
        <w:gridCol w:w="109"/>
        <w:gridCol w:w="109"/>
        <w:gridCol w:w="196"/>
        <w:gridCol w:w="646"/>
        <w:gridCol w:w="109"/>
        <w:gridCol w:w="109"/>
        <w:gridCol w:w="109"/>
        <w:gridCol w:w="109"/>
        <w:gridCol w:w="261"/>
        <w:gridCol w:w="582"/>
        <w:gridCol w:w="146"/>
        <w:gridCol w:w="109"/>
        <w:gridCol w:w="109"/>
        <w:gridCol w:w="109"/>
        <w:gridCol w:w="196"/>
        <w:gridCol w:w="556"/>
        <w:gridCol w:w="109"/>
        <w:gridCol w:w="109"/>
        <w:gridCol w:w="109"/>
        <w:gridCol w:w="109"/>
        <w:gridCol w:w="239"/>
        <w:gridCol w:w="678"/>
        <w:gridCol w:w="133"/>
        <w:gridCol w:w="109"/>
        <w:gridCol w:w="109"/>
        <w:gridCol w:w="109"/>
        <w:gridCol w:w="229"/>
        <w:gridCol w:w="652"/>
        <w:gridCol w:w="129"/>
        <w:gridCol w:w="109"/>
        <w:gridCol w:w="109"/>
        <w:gridCol w:w="109"/>
        <w:gridCol w:w="196"/>
        <w:gridCol w:w="556"/>
        <w:gridCol w:w="109"/>
        <w:gridCol w:w="109"/>
        <w:gridCol w:w="109"/>
        <w:gridCol w:w="109"/>
        <w:gridCol w:w="232"/>
        <w:gridCol w:w="501"/>
        <w:gridCol w:w="192"/>
      </w:tblGrid>
      <w:tr>
        <w:trPr/>
        <w:tc>
          <w:tcPr>
            <w:tcW w:w="7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Eliminations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AmeriGas</w:t>
              <w:br/>
              <w:t>Propane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br/>
              <w:t>&amp; Other (d)</w:t>
            </w:r>
          </w:p>
        </w:tc>
      </w:tr>
      <w:tr>
        <w:trPr/>
        <w:tc>
          <w:tcPr>
            <w:tcW w:w="12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and administrative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income (loss)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before interest expense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UGI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(including the effects of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Eliminations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AmeriGas</w:t>
              <w:br/>
              <w:t>Propane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br/>
              <w:t>&amp; Other (d)</w:t>
            </w:r>
          </w:p>
        </w:tc>
      </w:tr>
      <w:tr>
        <w:trPr/>
        <w:tc>
          <w:tcPr>
            <w:tcW w:w="12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and administrative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income (loss)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(loss) before interest expense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UGI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(including the effects of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the elimination of intersegment transactions principally among Midstream &amp; Marketing, Utilities and AmeriGas Propane.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(b)For the Utilities reportable segment, operating and administrative expenses less revenue-related taxes (i.e., gross receipts and business occupation taxes) is considered a significant segment expense and was $96 and $96 for the three months ended June 30, 2026 and 2025, respectively, and $307 and $290 for the nine months ended June 30, 2026 and 2025, respectively.</w:t>
      </w:r>
    </w:p>
    <w:p>
      <w:pPr>
        <w:pStyle w:val="TextBody"/>
        <w:bidi w:val="0"/>
        <w:spacing w:lineRule="auto" w:line="268" w:before="0" w:after="0"/>
        <w:ind w:left="0" w:right="0" w:hanging="360"/>
        <w:jc w:val="both"/>
        <w:rPr/>
      </w:pPr>
      <w:r>
        <w:rPr>
          <w:rFonts w:ascii="Times New Roman;serif" w:hAnsi="Times New Roman;serif"/>
          <w:b w:val="false"/>
          <w:color w:val="000000"/>
          <w:sz w:val="20"/>
        </w:rPr>
        <w:t>(c)Excluding Corporate &amp; Other, other segment items principally represent other operating and non-operating income and expenses.</w:t>
      </w:r>
      <w:r>
        <w:rPr>
          <w:color w:val="000000"/>
        </w:rPr>
        <w:t xml:space="preserv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(d)Corporate &amp; Other includes specific items attributable to our reportable segments that are not included in the segment profit measures used by our CODM. The following table presents such pre-tax gains (losses) which have been included in Corporate &amp; Other, and the reportable segments to which they relate, for the three and nine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tbl>
      <w:tblPr>
        <w:tblW w:w="10205" w:type="dxa"/>
        <w:jc w:val="left"/>
        <w:tblInd w:w="0" w:type="dxa"/>
        <w:tblLayout w:type="fixed"/>
        <w:tblCellMar>
          <w:top w:w="28" w:type="dxa"/>
          <w:left w:w="28" w:type="dxa"/>
          <w:bottom w:w="28" w:type="dxa"/>
          <w:right w:w="28" w:type="dxa"/>
        </w:tblCellMar>
      </w:tblPr>
      <w:tblGrid>
        <w:gridCol w:w="1431"/>
        <w:gridCol w:w="930"/>
        <w:gridCol w:w="938"/>
        <w:gridCol w:w="109"/>
        <w:gridCol w:w="109"/>
        <w:gridCol w:w="109"/>
        <w:gridCol w:w="833"/>
        <w:gridCol w:w="522"/>
        <w:gridCol w:w="524"/>
        <w:gridCol w:w="109"/>
        <w:gridCol w:w="109"/>
        <w:gridCol w:w="109"/>
        <w:gridCol w:w="354"/>
        <w:gridCol w:w="736"/>
        <w:gridCol w:w="198"/>
        <w:gridCol w:w="109"/>
        <w:gridCol w:w="109"/>
        <w:gridCol w:w="109"/>
        <w:gridCol w:w="307"/>
        <w:gridCol w:w="635"/>
        <w:gridCol w:w="171"/>
        <w:gridCol w:w="109"/>
        <w:gridCol w:w="109"/>
        <w:gridCol w:w="109"/>
        <w:gridCol w:w="288"/>
        <w:gridCol w:w="598"/>
        <w:gridCol w:w="162"/>
        <w:gridCol w:w="109"/>
        <w:gridCol w:w="161"/>
      </w:tblGrid>
      <w:tr>
        <w:trPr/>
        <w:tc>
          <w:tcPr>
            <w:tcW w:w="143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Location on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AmeriGas Propane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foreign currency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disposals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intersegment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Location on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AmeriGas Propane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sales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foreign currency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disposals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intersegment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tbl>
      <w:tblPr>
        <w:tblW w:w="10205" w:type="dxa"/>
        <w:jc w:val="left"/>
        <w:tblInd w:w="0" w:type="dxa"/>
        <w:tblLayout w:type="fixed"/>
        <w:tblCellMar>
          <w:top w:w="28" w:type="dxa"/>
          <w:left w:w="28" w:type="dxa"/>
          <w:bottom w:w="28" w:type="dxa"/>
          <w:right w:w="28" w:type="dxa"/>
        </w:tblCellMar>
      </w:tblPr>
      <w:tblGrid>
        <w:gridCol w:w="1431"/>
        <w:gridCol w:w="930"/>
        <w:gridCol w:w="938"/>
        <w:gridCol w:w="109"/>
        <w:gridCol w:w="109"/>
        <w:gridCol w:w="109"/>
        <w:gridCol w:w="833"/>
        <w:gridCol w:w="522"/>
        <w:gridCol w:w="524"/>
        <w:gridCol w:w="109"/>
        <w:gridCol w:w="109"/>
        <w:gridCol w:w="109"/>
        <w:gridCol w:w="354"/>
        <w:gridCol w:w="736"/>
        <w:gridCol w:w="198"/>
        <w:gridCol w:w="109"/>
        <w:gridCol w:w="109"/>
        <w:gridCol w:w="109"/>
        <w:gridCol w:w="307"/>
        <w:gridCol w:w="635"/>
        <w:gridCol w:w="171"/>
        <w:gridCol w:w="109"/>
        <w:gridCol w:w="109"/>
        <w:gridCol w:w="109"/>
        <w:gridCol w:w="288"/>
        <w:gridCol w:w="598"/>
        <w:gridCol w:w="162"/>
        <w:gridCol w:w="109"/>
        <w:gridCol w:w="161"/>
      </w:tblGrid>
      <w:tr>
        <w:trPr/>
        <w:tc>
          <w:tcPr>
            <w:tcW w:w="143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Location on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AmeriGas Propane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foreign currency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disposals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intersegment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Location on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Midstream &amp;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AmeriGas Propane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commodity derivative instruments not associated with current-period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foreign currency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disposals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disposals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intersegment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contained in this Quarterly Report on Form 10-Q contains forward-looking statements within the meaning of Section 27A of the Securities Act of 1933, as amended, and Section 21E of the Securities Exchange Act of 1934, as amended. Such statements use forward-looking words such as “believe,” “plan,” “anticipate,” “continue,” “estimate,” “expect,” “may,” or other similar words and terms of similar meaning, although not all forward-looking statements contain such words. These statements discuss plans, strategies, events or developments that we expect or anticipate will or may occur in the future. All forward-looking statements made in this Quarterly Report on Form 10-Q rely upon the safe harbor protections provided under the Private Securities Litigation Reform Act of 1995.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forward-looking statement may include a statement of the assumptions or bases underlying the forward-looking statement. We believe that we have chosen these assumptions or bases in good faith and that they are reasonable. However, we caution you against relying on any forward-looking statement as these statements are subject to risks and uncertainties that may cause actual results to vary from assumed facts or bases, and the differences between actual results and assumed facts or bases can be material, depending on the circumstances. When considering forward-looking statements, you should keep in mind those factors set forth in Item 1A. Risk Factors in the Company’s 2025 Annual Report and the following important factors that could affect our future results and could cause those results to differ materially from those expressed in our forward-looking statements: (1) weather conditions (including increasingly uncertain weather patterns due to climate change) resulting in reduced demand, the seasonal nature of our business, and disruptions in our operations and supply chain; (2) cost volatility and availability of energy products, including propane and other LPG, natural gas, and electricity, as well as the availability of LPG cylinders, and the capacity to transport product to our customers; (3) changes in domestic and foreign laws and regulations, including safety, health, tax, transportation, consumer protection, data privacy, accounting, trade restrictions and policies, such as tariffs and related sanctions, and environmental matters, such as regulatory responses to climate change; (4) inability to timely recover costs through utility rate proceedings; (5) increased customer conservation measures due to high energy prices and improvements in energy efficiency and technology resulting in reduced demand; (6) adverse labor relations and our ability to address existing or potential workforce shortages; (7) the impact of pending and future legal or regulatory proceedings, inquiries or investigations; (8) competitive pressures from the same and alternative energy sources; (9) failure to acquire new customers or retain current customers, thereby reducing or limiting any increase in revenues; (10) liability for environmental claims; (11) customer, counterparty, supplier, or vendor defaults; (12) liability for uninsured claims and for claims in excess of insurance coverage, including those for personal injury and property damage arising from explosions, acts of war, terrorism, natural disasters, pandemics, and other catastrophic events that may result from operating hazards and risks incidental to generating and distributing electricity and transporting, storing and distributing natural gas and LPG in all forms; (13) transmission or distribution system service interruptions; (14) political, regulatory and economic conditions in the United States, Europe and other foreign countries, including uncertainties related to the war between Russia and Ukraine, the conflict in the Middle East, the European energy crisis, the adoption and expansion of tariffs or other trade restrictions and policies, and foreign currency exchange rate fluctuations (particularly the euro); (15) credit and capital market conditions, including reduced access to capital markets and interest rate fluctuations; (16) changes in commodity market prices resulting in significantly higher cash collateral requirements; (17) impacts of our indebtedness and the restrictive covenants in our debt agreements; (18) reduced distributions from subsidiaries impacting the ability to pay dividends or service debt; (19) changes in Marcellus and Utica Shale gas production; (20) the success of our strategic initiatives and investments intended to advance our business strategy; (21) our ability to successfully integrate acquired businesses and achieve anticipated synergies; (22) the interruption, disruption, failure, malfunction, or breach of our information technology systems, and those of our third-party vendors or service providers, including due to cyber attack; (23) the inability to complete pending or future energy infrastructure projects; (24) our ability to attract, develop, retain and engage key employees; (25) uncertainties related to global pandemics; (26) the impact of a material impairment of our assets; (27) the impact of proposed or future tax legislation; (28) the impact of changes in governmental policies related to tariffs, reciprocal and retaliatory tariffs, and other tariff-related measures, trade agreements, or policies; (29) the impact of declines in the stock market or bond market, and a low interest rate environment, on our pension liability; (30) our ability to protect our intellectual property; (31) our ability to overcome supply chain issues that may result in delays or shortages in, as well as increased costs of, equipment, materials or other resources that are critical to our business operations; and (32) our ability to control operating costs and realize cost savings.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factors, and those factors set forth in Item 1A. Risk Factors in the Company’s 2025 Annual Report, are not necessarily all of the important factors that could cause actual results to differ materially from those expressed in any of our forward-looking statements. Other unknown or unpredictable factors could also have material adverse effects on future results. Any forward-looking statement speaks only as of the date on which such statement is made. We undertake no obligation (and expressly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disclaim any obligation) to update publicly any forward-looking statement, whether as a result of new information or future events, except as required by the federal securities laws.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ANALYSIS OF RESULTS OF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analyses compare the Company’s results of operations for the 2026 three-month period with the 2025 three-month period and the 2026 nine-month period with the 2025 nine-month period. Our analysis of results of operations should be read in conjunction with the segment information included in Note 13 to Condensed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most of our businesses sell or distribute energy products used in large part for heating purposes, our results are significantly influenced by temperatures in our service territories, particularly during the heating-season months of October through March. Accordingly, our results of operations, after adjusting for the effects of gains and losses on derivative instruments not associated with current-period transactions as further discussed below, are significantly higher in our first and second fiscal quarters.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Recent Developments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Electric Utility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April 2026, UGI Utilities entered into a definitive agreement to divest its Electric Utility for a sale price of $470, subject to changes in working capital and other adjustments. The transaction includes the sale of approximately 2,700 miles of transmission and distribution lines and 14 substations in Pennsylvania’s Luzerne and Wyoming counties. At June 30, 2026, the Electric Utility’s assets and liabilities were classified as held for sale and included in “Held for sale assets” and “Held for sale liabilities”, respectively, on the Condensed Consolidated Balance Sheet. The Company expects to recognize a gain upon closing, which is expected in the second quarter of Fiscal 2027, subject to customary closing conditions and applicable regulatory approvals.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Global LPG Business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Company’s global LPG business portfolio optimization efforts, the Company has strategically divested operations in non-core markets to focus resources where it can achieve superior operational results and deliver enhanced customer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UGI International.</w:t>
      </w:r>
      <w:r>
        <w:rPr>
          <w:color w:val="000000"/>
        </w:rPr>
        <w:t xml:space="preserve"> </w:t>
      </w:r>
      <w:r>
        <w:rPr>
          <w:rFonts w:ascii="Times New Roman;serif" w:hAnsi="Times New Roman;serif"/>
          <w:b w:val="false"/>
          <w:color w:val="000000"/>
          <w:sz w:val="20"/>
        </w:rPr>
        <w:t>In January 2026, UGI International, through a wholly-owned subsidiary, entered into a definitive agreement to divest its LPG distribution businesses in Czech Republic, Hungary, Poland, and Slovakia. The sale was completed in May 2026, subject to customary post-closing working capital adjustments. During the second quarter of Fiscal 2026, the Company classified the assets and liabilities associated with these businesses, primarily comprised of long-lived assets and goodwill allocated to the disposal group, as held for sale and recognized a non-cash, pre-tax impairment charge of $64 to record such assets at estimated fair value less costs to sell. During the third quarter of Fiscal 2026, in conjunction with the completion of the sale, the Company recognized an incremental loss on disposal of $7, resulting in a total loss of $71 for the nine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UGI International, through a wholly-owned subsidiary, completed the sale of its LPG business in Romania. For the nine months ended June 30, 2026, the Company recognized a pre-tax loss on sale of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2025, UGI International, through a wholly-owned subsidiary, completed the sale of Flaga, its LPG distribution business in Austria. For the nine months ended June 30, 2026, the Company recognized a pre-tax gain on the sale of $29.</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UGI International, through a wholly-owned subsidiary, completed the sale of its cylinder business in the United Kingdom. For the nine months ended June 30, 2026, the Company recognized a pre-tax gain on the sale of $2.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See Note 5 to Condensed Consolidated Financial Statements for additional information.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UGI management uses “adjusted net income attributable to UGI Corporation” and “adjusted diluted earnings per share,” both of which are non-GAAP financial measures, when evaluating UGI’s overall performance. Management believes that these non-GAAP measures provide meaningful information to investors about UGI’s performance because they eliminate gains and losses on commodity and certain foreign currency derivative instruments not associated with current-period transactions and other significant discrete items that can affect the comparison of period-over-period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UGI does not designate its commodity and certain foreign currency derivative instruments as hedges under GAAP. Volatility in net income (loss) attributable to UGI Corporation can occur as a result of gains and losses on such derivative instruments not associated with current-period transactions. These gains and losses result principally from recording changes in unrealized gains and losses on unsettled commodity and certain foreign currency derivative instruments and, to a much lesser extent, certain realized gains and losses on settled commodity derivative instruments that are not associated with current-period transactions. However, because these derivative instruments economically hedge anticipated future purchases or sales of energy commodities, or in the case of certain foreign currency derivatives reduce volatility in anticipated future earnings associated with our foreign operations, we expect that such gains or losses will be largely offset by gains or losses on anticipated future energy commodity transactions or mitigate volatility in anticipated future earnings. Non-GAAP financial measures are not in accordance with, or an alternative to, GAAP and should be considered in addition to, and not as a substitute for, the comparable GAAP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adjustments referred to above and reconcile net income (loss) attributable to UGI Corporation, the most directly comparable GAAP measure, to adjusted net income (loss) attributable to UGI Corporation, and reconcile diluted earnings (loss) per share, the most directly comparable GAAP measure, to adjusted diluted earnings (loss) per share:</w:t>
      </w:r>
    </w:p>
    <w:tbl>
      <w:tblPr>
        <w:tblW w:w="10205" w:type="dxa"/>
        <w:jc w:val="left"/>
        <w:tblInd w:w="0" w:type="dxa"/>
        <w:tblLayout w:type="fixed"/>
        <w:tblCellMar>
          <w:top w:w="28" w:type="dxa"/>
          <w:left w:w="28" w:type="dxa"/>
          <w:bottom w:w="28" w:type="dxa"/>
          <w:right w:w="28" w:type="dxa"/>
        </w:tblCellMar>
      </w:tblPr>
      <w:tblGrid>
        <w:gridCol w:w="2515"/>
        <w:gridCol w:w="1699"/>
        <w:gridCol w:w="1707"/>
        <w:gridCol w:w="109"/>
        <w:gridCol w:w="109"/>
        <w:gridCol w:w="109"/>
        <w:gridCol w:w="214"/>
        <w:gridCol w:w="404"/>
        <w:gridCol w:w="110"/>
        <w:gridCol w:w="110"/>
        <w:gridCol w:w="110"/>
        <w:gridCol w:w="110"/>
        <w:gridCol w:w="214"/>
        <w:gridCol w:w="297"/>
        <w:gridCol w:w="110"/>
        <w:gridCol w:w="109"/>
        <w:gridCol w:w="109"/>
        <w:gridCol w:w="109"/>
        <w:gridCol w:w="211"/>
        <w:gridCol w:w="466"/>
        <w:gridCol w:w="109"/>
        <w:gridCol w:w="109"/>
        <w:gridCol w:w="109"/>
        <w:gridCol w:w="109"/>
        <w:gridCol w:w="211"/>
        <w:gridCol w:w="466"/>
        <w:gridCol w:w="161"/>
      </w:tblGrid>
      <w:tr>
        <w:trPr/>
        <w:tc>
          <w:tcPr>
            <w:tcW w:w="251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(loss) attributable to UGI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June 30,</w:t>
            </w:r>
          </w:p>
        </w:tc>
      </w:tr>
      <w:tr>
        <w:trPr/>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9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&amp;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AmeriGas Propane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UGI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losses (gains) on commodity derivative instruments not associated with current-period transactions (net of tax of $(15), $(31), $11 and $(2),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losses (gains) on foreign currency derivative instruments (net of tax of $1, $(7), $6 and $(4),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extinguishments of debt (net of tax of $(4), $(2) $(4) and $(2),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(net of tax of $(2), $0, $(2)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(gain) on disposals of businesses (net of tax of $(2), $(1), $(1) and $(1),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5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(a)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(loss) attributable to UGI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35"/>
        <w:gridCol w:w="1645"/>
        <w:gridCol w:w="1553"/>
        <w:gridCol w:w="109"/>
        <w:gridCol w:w="109"/>
        <w:gridCol w:w="109"/>
        <w:gridCol w:w="211"/>
        <w:gridCol w:w="557"/>
        <w:gridCol w:w="109"/>
        <w:gridCol w:w="109"/>
        <w:gridCol w:w="109"/>
        <w:gridCol w:w="109"/>
        <w:gridCol w:w="211"/>
        <w:gridCol w:w="557"/>
        <w:gridCol w:w="109"/>
        <w:gridCol w:w="109"/>
        <w:gridCol w:w="109"/>
        <w:gridCol w:w="109"/>
        <w:gridCol w:w="211"/>
        <w:gridCol w:w="511"/>
        <w:gridCol w:w="109"/>
        <w:gridCol w:w="109"/>
        <w:gridCol w:w="109"/>
        <w:gridCol w:w="109"/>
        <w:gridCol w:w="211"/>
        <w:gridCol w:w="511"/>
        <w:gridCol w:w="157"/>
      </w:tblGrid>
      <w:tr>
        <w:trPr/>
        <w:tc>
          <w:tcPr>
            <w:tcW w:w="223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&amp;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AmeriGas Propane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(gains) on commodity derivative instruments not associated with current-period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foreign currency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disposals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color w:val="000000"/>
                <w:sz w:val="20"/>
              </w:rPr>
            </w:pPr>
            <w:r>
              <w:rPr>
                <w:rFonts w:ascii="Times New Roman;serif" w:hAnsi="Times New Roman;serif"/>
                <w:b/>
                <w:color w:val="000000"/>
                <w:sz w:val="20"/>
              </w:rPr>
              <w:t>Adjusted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(a)Corporate &amp; Other includes certain adjustments made to our reporting segments in arriving at net income attributable to UGI Corporation. These adjustments have been excluded from the segment results to align with the measure used by our CODM in assessing segment performance and allocating resources. See Note 13 to Condensed Consolidated Financial Statements for additional information related to these adjustments, as well as other items included within Corporate &amp; Other.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(b)Income taxes associated with pre-tax adjustments determined using statutory business unit tax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Executive 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three-month period compared with 2025 three-month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UGI Corporation for the 2026 three-month period was $133 (equal to $0.62 loss per diluted share) compared to $163 (equal to $0.76 loss per diluted share) for the 2025 three-month period. These results include net losses from changes in unrealized commodity derivative instruments and certain foreign currency derivative instruments of $70 and $99 during the 2026 and 2025 three-month periods,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attributable to UGI Corporation for the 2026 three-month period also includes (1) a loss on extinguishments of debt of $11, primarily at AmeriGas Propane; (2) a $5 net loss on disposals of certain non-core assets from our LPG business at UGI International; and (3) restructuring costs of $4 largely attributable to a reduction in workforce and 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attributable to UGI Corporation for the 2025 three-month period also includes (1) a $53 loss on disposals of certain non-core assets from our global LPG business; and (2) a loss on extinguishments of debt of $8, primarily at AmeriGas Propane.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loss attributable to UGI Corporation for the 2026 three-month period was $43 (equal to $0.20 loss per diluted share) compared to $3 (equal to $0.01 loss per diluted share) for the 2025 three-month period. The increase in adjusted net loss attributable to UGI Corporation during the 2026 three-month period reflects lower earnings contributions from our AmeriGas Propane, UGI International and Midstream &amp; Marketing segments, partially offset by higher earnings contributions from the Utilities segment. During the 2026 three-month period, temperatures in our Utilities segment were colder than the prior-year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adjusted net income attributable to UGI Corporation increased $4 in the 2026 three-month period compared to the prior-year period, primarily attributable to higher total margin.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Midstream &amp; Marketing’s adjusted net income attributable to UGI Corporation decreased $7 in the 2026 three-month period, primarily attributable to higher income tax expenses, reflecting lower investment tax credits in the 2026 three-month period, partially offset by higher total margin.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UGI International’s adjusted net income attributable to UGI Corporation decreased $18 in the 2026 three-month period, reflecting higher income tax expenses and, to a lesser extent, lower total margin.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AmeriGas Propane’s adjusted net income attributable to UGI Corporation decreased $99, from adjusted net income in the 2025 three-month period to an adjusted net loss in the 2026 three-month period. The decrease principally reflects a lower income tax benefit in the current period; the segment’s earnings before interest expense and income taxes declined $25 over the same period, with the balance of the change attributable to income taxes.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2026 nine-month period compared with 2025 nine-month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UGI Corporation for the 2026 nine-month period was $684 (equal to $3.08 per diluted share) compared to $691 (equal to $3.16 per diluted share) for the 2025 nine-month period. These results include net gains (losses) from changes in unrealized commodity derivative instruments and certain foreign currency derivative instruments of $38 and $(24) during the 2026 and 2025 nine-month periods,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UGI Corporation for the 2026 nine-month period also includes (1) a $41 net loss on disposals of certain non-core assets from our LPG business at UGI International; (2) a loss on extinguishments of debt of $11, primarily at AmeriGas Propane; and (3) restructuring costs of $4 largely attributable to a reduction in workforce and 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UGI Corporation for the 2025 nine-month period also includes (1) a $53 loss on disposals of certain non-core assets from our global LPG business; and (2) a loss on extinguishments of debt of $8, primarily at AmeriGas Propane.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attributable to UGI Corporation for the 2026 nine-month period was $702 (equal to $3.17 per diluted share) compared to $776 (equal to $3.55 per diluted share) for the 2025 nine-month period. The decrease in adjusted net income attributable to UGI Corporation for the 2026 nine-month period reflects lower earnings contributions from our Midstream &amp; Marketing and UGI International segments, partially offset by higher earnings contributions from the AmeriGas Propane and Utilities segments. In addition, the decrease in adjusted net income during the 2026 nine-month period also reflects higher income tax expenses primarily related to a decrease in investment tax credits in our Midstream &amp; Marketing segment. During the 2026 nine-month period, temperatures in our Utilities and Midstream &amp; Marketing segments were colder than the prior-year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adjusted net income attributable to UGI Corporation increased $18 during the 2026 nine-month period. The increase was largely attributable to higher total margin, partially offset by higher operating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Midstream &amp; Marketing’s adjusted net income attributable to UGI Corporation decreased $76 during the 2026 nine-month period, primarily attributable to higher income tax expenses and higher operating and administrative expenses, partially offset by higher total margin.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UGI International’s adjusted net income attributable to UGI Corporation decreased $5 during the 2026 nine-month period. The decrease is mainly attributable to higher realized losses on foreign currency contracts, partially offset by higher total margin.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AmeriGas Propane’s adjusted net income attributable to UGI Corporation increased $31 during the 2026 nine-month period, primarily reflecting significantly lower income tax expenses. This increase was achieved despite a $25 decline in earnings before interest expense and income taxes, and reflects lower total margin and higher operating and administrative expenses.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Analysis of Segment Results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2026 Three-Month Period Compared with the 2025 Three-Month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Utilities</w:t>
      </w:r>
    </w:p>
    <w:tbl>
      <w:tblPr>
        <w:tblW w:w="9181" w:type="dxa"/>
        <w:jc w:val="left"/>
        <w:tblInd w:w="0" w:type="dxa"/>
        <w:tblLayout w:type="fixed"/>
        <w:tblCellMar>
          <w:top w:w="28" w:type="dxa"/>
          <w:left w:w="28" w:type="dxa"/>
          <w:bottom w:w="28" w:type="dxa"/>
          <w:right w:w="28" w:type="dxa"/>
        </w:tblCellMar>
      </w:tblPr>
      <w:tblGrid>
        <w:gridCol w:w="1596"/>
        <w:gridCol w:w="1401"/>
        <w:gridCol w:w="1412"/>
        <w:gridCol w:w="109"/>
        <w:gridCol w:w="109"/>
        <w:gridCol w:w="109"/>
        <w:gridCol w:w="211"/>
        <w:gridCol w:w="466"/>
        <w:gridCol w:w="271"/>
        <w:gridCol w:w="109"/>
        <w:gridCol w:w="109"/>
        <w:gridCol w:w="109"/>
        <w:gridCol w:w="211"/>
        <w:gridCol w:w="466"/>
        <w:gridCol w:w="271"/>
        <w:gridCol w:w="109"/>
        <w:gridCol w:w="109"/>
        <w:gridCol w:w="109"/>
        <w:gridCol w:w="225"/>
        <w:gridCol w:w="433"/>
        <w:gridCol w:w="116"/>
        <w:gridCol w:w="116"/>
        <w:gridCol w:w="116"/>
        <w:gridCol w:w="116"/>
        <w:gridCol w:w="218"/>
        <w:gridCol w:w="218"/>
        <w:gridCol w:w="337"/>
      </w:tblGrid>
      <w:tr>
        <w:trP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Utility system throughput—bcf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Utility distribution sales -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Utility degree days—% (warmer) than normal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revenues less cost of sales and revenue-related taxes (i.e., gross receipts and business and occupation taxes) of $4 each during the 2026 and 2025 three-month periods. For financial statement purposes, revenue-related taxes are included in “Operating and administrative expenses” on the Condensed Consolidated Statements of Income (but are excluded from operating and administrative expenses presented above).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(b)Deviation from average heating degree days is determined on a 10-year period utilizing volume-weighted weather data based on weather statistics provided by NOAA for airports located within Gas Utility’s service territories.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Temperatures in Gas Utility’s service territories during the 2026 three-month period were 4.1% warmer than normal and 5.6% colder than the prior-year period. Notwithstanding the colder weather, Gas Utility core market volumes were comparable to the prior-year period. Total Gas Utility volume decreased 11% during the 2026 three-month period, reflecting lower large firm delivery service volumes. Electric Utility distribution sales volumes were comparable to the prior-year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revenues increased $15 during the 2026 three-month period, primarily reflecting higher Gas Utility revenues ($14). The increase in Gas Utility revenues was largely attributable to the increase in the PA Gas Utility base rates, effective October 2025, and higher PGC and PGA rates, largely offset by lower off-system sales. Electric Utility revenues were comparable to the prior-year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Utilities cost of sales increased $2 during the 2026 three-month period, reflecting higher Gas Utility cost of sales ($2). The increase in Gas Utility cost of sales was largely attributable to the higher PGC and PGA rates, substantially offset by lower cost of sales associated with off-system sales. Electric Utility cost of sales was comparable to the prior-year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Utilities total margin increased $13 during the 2026 three-month period, primarily reflecting higher Gas Utility total margin ($11). The increase in Gas Utility total margin principally reflects the increase in the PA Gas Utility base rates, effective October 2025. Electric Utility margin was comparable to the prior-year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operating income increased $10 during the 2026 three-month period. This increase largely reflects the increase in total margin ($13), partially offset by higher depreciation expense ($3). The higher depreciation expense compared to the prior-year period reflects the effects of continued distribution system capital expenditure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earnings before interest expense and income taxes increased $10 during the 2026 three-month period, principally representing the increase in operating income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Midstream &amp; Marketing</w:t>
      </w:r>
    </w:p>
    <w:tbl>
      <w:tblPr>
        <w:tblW w:w="8654" w:type="dxa"/>
        <w:jc w:val="left"/>
        <w:tblInd w:w="0" w:type="dxa"/>
        <w:tblLayout w:type="fixed"/>
        <w:tblCellMar>
          <w:top w:w="28" w:type="dxa"/>
          <w:left w:w="28" w:type="dxa"/>
          <w:bottom w:w="28" w:type="dxa"/>
          <w:right w:w="28" w:type="dxa"/>
        </w:tblCellMar>
      </w:tblPr>
      <w:tblGrid>
        <w:gridCol w:w="1521"/>
        <w:gridCol w:w="1334"/>
        <w:gridCol w:w="1345"/>
        <w:gridCol w:w="109"/>
        <w:gridCol w:w="109"/>
        <w:gridCol w:w="109"/>
        <w:gridCol w:w="211"/>
        <w:gridCol w:w="466"/>
        <w:gridCol w:w="109"/>
        <w:gridCol w:w="109"/>
        <w:gridCol w:w="109"/>
        <w:gridCol w:w="109"/>
        <w:gridCol w:w="211"/>
        <w:gridCol w:w="466"/>
        <w:gridCol w:w="109"/>
        <w:gridCol w:w="109"/>
        <w:gridCol w:w="109"/>
        <w:gridCol w:w="109"/>
        <w:gridCol w:w="221"/>
        <w:gridCol w:w="457"/>
        <w:gridCol w:w="114"/>
        <w:gridCol w:w="114"/>
        <w:gridCol w:w="114"/>
        <w:gridCol w:w="114"/>
        <w:gridCol w:w="218"/>
        <w:gridCol w:w="218"/>
        <w:gridCol w:w="331"/>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revenues less cost of sales.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temperatures across Midstream &amp; Marketing’s energy marketing territory during the 2026 three-month period were 10.2% warmer than normal and 4.6% warmer than the prior-year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Midstream &amp; Marketing revenues decreased $29 during the 2026 three-month period, primarily reflecting lower revenues from natural gas marketing activities ($36), including the effects of capacity management activities, partially offset by higher revenues from renewable energy ($5).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Midstream &amp; Marketing cost of sales decreased $42 during the 2026 three-month period, primarily reflecting lower natural gas costs ($47) related to the previously mentioned natural gas marketing activities, partially offset by higher cost of sales from renewable energy ($4).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Midstream &amp; Marketing total margin increased $13 during the 2026 three-month period, principally reflecting higher total margin from capacity management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Midstream &amp; Marketing operating income increased $4 during the 2026 three-month period, mainly reflecting higher total margin ($13), substantially offset by higher operating and administrative expenses ($8). The increase in operating and administrative expenses was primarily due to higher operating expenses related to renewable energy projects.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Midstream &amp; Marketing earnings before interest expense and income taxes increased $3 during the 2026 three-month period, primarily representing the increase in operating income ($4).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UGI International</w:t>
      </w:r>
    </w:p>
    <w:tbl>
      <w:tblPr>
        <w:tblW w:w="8962" w:type="dxa"/>
        <w:jc w:val="left"/>
        <w:tblInd w:w="0" w:type="dxa"/>
        <w:tblLayout w:type="fixed"/>
        <w:tblCellMar>
          <w:top w:w="28" w:type="dxa"/>
          <w:left w:w="28" w:type="dxa"/>
          <w:bottom w:w="28" w:type="dxa"/>
          <w:right w:w="28" w:type="dxa"/>
        </w:tblCellMar>
      </w:tblPr>
      <w:tblGrid>
        <w:gridCol w:w="1521"/>
        <w:gridCol w:w="1334"/>
        <w:gridCol w:w="1345"/>
        <w:gridCol w:w="109"/>
        <w:gridCol w:w="109"/>
        <w:gridCol w:w="109"/>
        <w:gridCol w:w="211"/>
        <w:gridCol w:w="466"/>
        <w:gridCol w:w="271"/>
        <w:gridCol w:w="109"/>
        <w:gridCol w:w="109"/>
        <w:gridCol w:w="109"/>
        <w:gridCol w:w="211"/>
        <w:gridCol w:w="466"/>
        <w:gridCol w:w="271"/>
        <w:gridCol w:w="109"/>
        <w:gridCol w:w="109"/>
        <w:gridCol w:w="109"/>
        <w:gridCol w:w="236"/>
        <w:gridCol w:w="371"/>
        <w:gridCol w:w="122"/>
        <w:gridCol w:w="122"/>
        <w:gridCol w:w="122"/>
        <w:gridCol w:w="122"/>
        <w:gridCol w:w="218"/>
        <w:gridCol w:w="218"/>
        <w:gridCol w:w="354"/>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LPG retail gallons sold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Degree days—% (warmer) than normal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revenues less cost of sales.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(b)Deviation from average heating degree days is determined on a rolling 10-year period utilizing volume-weighted weather data at locations in our UGI International service territories.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temperatures during the 2026 three-month period were 23.1% warmer than normal and 2.2% warmer than the prior-year period. Total LPG retail gallons sold during the 2026 three-month period were 10% lower than the prior-year period, largely attributable to the impacts from the divestitures of certain non-core LPG businesses, continued structural conservation and the impact from the warmer weather.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UGI International base-currency results are translated into USD based upon exchange rates experienced during the reporting periods. The functional currency of a significant portion of our UGI International results is the euro and, to a much lesser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extent, the British pound sterling. During the 2026 and 2025 three-month periods, the average unweighted euro-to-USD translation rates were approximately $1.16 and $1.13, respectively, and the average unweighted British pound sterling-to-USD translation rates were approximately $1.34 and $1.34, respectively. Fluctuations in these foreign currency exchange rates can have a significant impact on the individual financial statement components discussed below. The Company uses forward foreign currency exchange contracts entered into over multi-year periods to reduce the volatility in earnings that may result from such changes in foreign currency exchange rates. These forward foreign currency exchange contracts did not have a material impact on either of the three-month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wholesale prices for propane and butane during the 2026 three-month period in northwest Europe were approximately 31.6% and 46.5% higher, respectively, compared with the prior-year period. UGI International revenues decreased $1 and cost of sales increased $5 during the 2026 three-month period compared to the prior-year period. The decrease in revenues principally reflects lower LPG retail volumes sold, substantially offset by higher LPG prices and, to a lesser extent, the translation effects of the stronger foreign currencies (approximately $12). The increase in cost of sales was mainly attributable to higher LPG product costs and, to a lesser extent, the translation effects of the stronger foreign currencies (approximately $7), largely offset by lower LPG retail volumes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UGI International total margin decreased $6 during the 2026 three-month period, primarily reflecting the lower LPG retail volumes sold, largely offset by the effects of higher average unit margins and the translation effects of the stronger foreign currencies (approximately $5).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UGI International operating income decreased $2 during the 2026 three-month period, principally reflecting the decrease in total margin ($6), partially offset by slightly lower operating and administrative expenses ($3). The lower operating and administrative expenses in the 2026 three-month period primarily reflect the impacts from the divestitures of certain non-core LPG businesses and lower personnel expenses, substantially offset by the translation effects of the stronger foreign currencies (approximately $3) and the effects of inflationary increases.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UGI International earnings before interest expense and income taxes decreased $2 during the 2026 three-month period, reflecting the lower operating income ($2).</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AmeriGas Propane</w:t>
      </w:r>
    </w:p>
    <w:tbl>
      <w:tblPr>
        <w:tblW w:w="8843" w:type="dxa"/>
        <w:jc w:val="left"/>
        <w:tblInd w:w="0" w:type="dxa"/>
        <w:tblLayout w:type="fixed"/>
        <w:tblCellMar>
          <w:top w:w="28" w:type="dxa"/>
          <w:left w:w="28" w:type="dxa"/>
          <w:bottom w:w="28" w:type="dxa"/>
          <w:right w:w="28" w:type="dxa"/>
        </w:tblCellMar>
      </w:tblPr>
      <w:tblGrid>
        <w:gridCol w:w="1472"/>
        <w:gridCol w:w="1292"/>
        <w:gridCol w:w="1301"/>
        <w:gridCol w:w="109"/>
        <w:gridCol w:w="109"/>
        <w:gridCol w:w="109"/>
        <w:gridCol w:w="211"/>
        <w:gridCol w:w="466"/>
        <w:gridCol w:w="271"/>
        <w:gridCol w:w="109"/>
        <w:gridCol w:w="109"/>
        <w:gridCol w:w="109"/>
        <w:gridCol w:w="211"/>
        <w:gridCol w:w="466"/>
        <w:gridCol w:w="271"/>
        <w:gridCol w:w="109"/>
        <w:gridCol w:w="109"/>
        <w:gridCol w:w="109"/>
        <w:gridCol w:w="221"/>
        <w:gridCol w:w="457"/>
        <w:gridCol w:w="114"/>
        <w:gridCol w:w="114"/>
        <w:gridCol w:w="114"/>
        <w:gridCol w:w="114"/>
        <w:gridCol w:w="218"/>
        <w:gridCol w:w="218"/>
        <w:gridCol w:w="331"/>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gallons sold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Degree days—% colder (warmer) than normal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total revenues less total cost of sales.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(b)Deviation from average heating degree days is determined on a rolling 10-year period utilizing volume-weighted weather data based on weather statistics provided by NOAA for 344 regions in the U.S., excluding Alaska and Hawaii.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temperatures during the 2026 three-month period were 1.9% colder than normal and comparable to the prior-year period. Total retail gallons sold decreased 10% during the 2026 three-month period primarily reflecting continuing customer attrition and the sale of our LPG operations in Hawaii. While weather during the 2026 three-month period was comparable to the prior-year period, the timing of warmer weather early in the quarter reduced volumes and total margin relative to the prior-year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Average daily wholesale propane commodity prices during the 2026 three-month period at Mont Belvieu, Texas, one of the major supply points in the U.S., were approximately 4% higher than such prices during the 2025 three-month period. Total revenues decreased $62 during the 2026 three-month period largely reflecting lower retail volumes sold ($37), the effects of lower average retail propane selling prices ($10) and lower wholesale revenues ($9).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AmeriGas Propane total cost of sales decreased $36 during the 2026 three-month period largely reflecting lower retail volumes sold ($18), lower wholesale cost of sales ($9) and lower retail propane product costs ($8).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AmeriGas Propane total margin decreased $26 during the 2026 three-month period primarily reflecting the lower retail propane volumes sold ($19) and lower retail unit margins, together with lower fee income ($5).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AmeriGas Propane operating loss increased $25 during the 2026 three-month period, primarily representing the decrease in total margin ($26). Operating and administrative expenses were comparable to the prior-year period as higher compensation expenses were substantially offset by lower vehicle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AmeriGas Propane loss before interest expense and income taxes increased $25 during the 2026 three-month period, representing the increase in operating loss ($25).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 and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interest expense during the 2026 three-month period was $109 compared to $101 during the 2025 three-month period. The increase in interest expense reflects the effects of higher interest rates on long-term debt, higher average long-term debt outstanding at UGI International and higher average short-term borrowings at Utilities. These increases were partially offset by lower average long-term debt outstanding at AmeriGas Propane and lower average short-term borrowings at UGI International.</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increase in the Company’s effective income tax rate for the 2026 three-month period primarily reflects the impacts of (1) lower tax reserve releases compared to the prior-year period; and (2) higher unrealized gains on commodity derivative instruments.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estimated annual effective tax rate is sensitive to changes in the forecasted mix of earnings across jurisdictions and to changes in the fair value of unrealized mark-to-market positions. Unrealized mark-to-market gains and losses on commodity contracts can be material and volatile, and the annual effective tax rate may change significantly in future interim periods if the fair value of these positions changes materially from current estimates. </w:t>
      </w:r>
    </w:p>
    <w:p>
      <w:pPr>
        <w:pStyle w:val="TextBody"/>
        <w:bidi w:val="0"/>
        <w:spacing w:lineRule="auto" w:line="268" w:before="0" w:after="200"/>
        <w:jc w:val="both"/>
        <w:rPr>
          <w:rFonts w:ascii="Times New Roman;serif" w:hAnsi="Times New Roman;serif"/>
          <w:b/>
          <w:color w:val="000000"/>
          <w:sz w:val="20"/>
        </w:rPr>
      </w:pPr>
      <w:r>
        <w:rPr>
          <w:rFonts w:ascii="Times New Roman;serif" w:hAnsi="Times New Roman;serif"/>
          <w:b/>
          <w:color w:val="000000"/>
          <w:sz w:val="20"/>
        </w:rPr>
        <w:t>2026 Nine-Month Period Compared with the 2025 Nine-Month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Utilities</w:t>
      </w:r>
    </w:p>
    <w:tbl>
      <w:tblPr>
        <w:tblW w:w="10016" w:type="dxa"/>
        <w:jc w:val="left"/>
        <w:tblInd w:w="0" w:type="dxa"/>
        <w:tblLayout w:type="fixed"/>
        <w:tblCellMar>
          <w:top w:w="28" w:type="dxa"/>
          <w:left w:w="28" w:type="dxa"/>
          <w:bottom w:w="28" w:type="dxa"/>
          <w:right w:w="28" w:type="dxa"/>
        </w:tblCellMar>
      </w:tblPr>
      <w:tblGrid>
        <w:gridCol w:w="1797"/>
        <w:gridCol w:w="1577"/>
        <w:gridCol w:w="1590"/>
        <w:gridCol w:w="109"/>
        <w:gridCol w:w="109"/>
        <w:gridCol w:w="109"/>
        <w:gridCol w:w="211"/>
        <w:gridCol w:w="616"/>
        <w:gridCol w:w="271"/>
        <w:gridCol w:w="109"/>
        <w:gridCol w:w="109"/>
        <w:gridCol w:w="109"/>
        <w:gridCol w:w="211"/>
        <w:gridCol w:w="616"/>
        <w:gridCol w:w="271"/>
        <w:gridCol w:w="109"/>
        <w:gridCol w:w="109"/>
        <w:gridCol w:w="109"/>
        <w:gridCol w:w="217"/>
        <w:gridCol w:w="479"/>
        <w:gridCol w:w="112"/>
        <w:gridCol w:w="112"/>
        <w:gridCol w:w="112"/>
        <w:gridCol w:w="112"/>
        <w:gridCol w:w="202"/>
        <w:gridCol w:w="204"/>
        <w:gridCol w:w="325"/>
      </w:tblGrid>
      <w:tr>
        <w:trPr/>
        <w:tc>
          <w:tcPr>
            <w:tcW w:w="179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Utility system throughput—bcf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Utility distribution sales -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Utility degree days—% colder (warmer) than normal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revenues less cost of sales and revenue-related taxes (i.e., gross receipts and business and occupation taxes) of $23 and $21 during the 2026 and 2025 nine-month periods, respectively. For financial statement purposes, revenue-related taxes are included in “Operating and administrative expenses” on the Condensed Consolidated Statements of Income (but are excluded from operating and administrative expenses presented above).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(b)Deviation from average heating degree days is determined on a 10-year period utilizing volume-weighted weather data based on weather statistics provided by NOAA for airports located within Gas Utility’s service territories.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Temperatures in Gas Utility’s service territories during the 2026 nine-month period were 9.3% colder than normal and 10.2% colder than the prior-year period. Gas Utility core market volumes increased 5% during the 2026 nine-month period, principally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reflecting the impact from the colder weather compared to the prior-year period. Total Gas Utility volume decreased 2% during the 2026 nine-month period, reflecting lower large firm delivery service volumes, partially offset by the increase in core market volumes. The increase in Electric Utility distribution sales volumes is primarily attributable to the impact from the colder weather compared to the prior-year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Utilities revenues increased $228 during the 2026 nine-month period, primarily reflecting higher Gas Utility revenues ($221). The increase in Gas Utility revenues was largely attributable to the increase in the PA Gas Utility base rates, effective October 2025, higher PGC and PGA rates, the higher core market volumes and higher off-system sales. These increases were partially offset by the effects of the weather normalization adjustments. The increase in Electric Utility revenues ($7) in the 2026 nine-month period is principally attributable to the higher DS rates and higher sales volumes.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Utilities cost of sales increased $164 during the 2026 nine-month period, primarily reflecting higher Gas Utility cost of sales ($160). The increase in Gas Utility cost of sales was largely attributable to the higher PGC and PGA rates, higher cost of sales associated with off-system sales and the higher core market volumes. The increase in Electric Utility cost of sales ($4) is principally attributable to the higher DS rates and higher sales volumes.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Utilities total margin increased $64 during the 2026 nine-month period, primarily reflecting higher Gas Utility total margin ($61). The increase in Gas Utility total margin principally reflects the increase in the PA Gas Utility base rates, effective October 2025 and the higher core market volumes, partially offset by the effects of the weather normalization adjustments. Electric Utility margin was comparable to the prior-year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operating income increased $36 during the 2026 nine-month period. This increase largely reflects the increase in total margin ($64), partially offset by higher operating and administrative expenses ($17) and higher depreciation expense ($10). The higher operating and administrative expenses reflect, among other things, higher personnel expenses and higher uncollectible accounts expenses. The higher depreciation expense compared to the prior-year period reflects the effects of continued distribution system capital expenditure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Utilities earnings before interest expense and income taxes increased $35 during the 2026 nine-month period, principally representing the increase in operating income ($36).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Midstream &amp; Marketing</w:t>
      </w:r>
    </w:p>
    <w:tbl>
      <w:tblPr>
        <w:tblW w:w="8883" w:type="dxa"/>
        <w:jc w:val="left"/>
        <w:tblInd w:w="0" w:type="dxa"/>
        <w:tblLayout w:type="fixed"/>
        <w:tblCellMar>
          <w:top w:w="28" w:type="dxa"/>
          <w:left w:w="28" w:type="dxa"/>
          <w:bottom w:w="28" w:type="dxa"/>
          <w:right w:w="28" w:type="dxa"/>
        </w:tblCellMar>
      </w:tblPr>
      <w:tblGrid>
        <w:gridCol w:w="1521"/>
        <w:gridCol w:w="1334"/>
        <w:gridCol w:w="1345"/>
        <w:gridCol w:w="109"/>
        <w:gridCol w:w="109"/>
        <w:gridCol w:w="109"/>
        <w:gridCol w:w="211"/>
        <w:gridCol w:w="616"/>
        <w:gridCol w:w="109"/>
        <w:gridCol w:w="109"/>
        <w:gridCol w:w="109"/>
        <w:gridCol w:w="109"/>
        <w:gridCol w:w="211"/>
        <w:gridCol w:w="616"/>
        <w:gridCol w:w="109"/>
        <w:gridCol w:w="109"/>
        <w:gridCol w:w="109"/>
        <w:gridCol w:w="109"/>
        <w:gridCol w:w="217"/>
        <w:gridCol w:w="479"/>
        <w:gridCol w:w="112"/>
        <w:gridCol w:w="112"/>
        <w:gridCol w:w="112"/>
        <w:gridCol w:w="112"/>
        <w:gridCol w:w="180"/>
        <w:gridCol w:w="181"/>
        <w:gridCol w:w="325"/>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revenues less cost of sales.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temperatures across Midstream &amp; Marketing’s energy marketing territory during the 2026 nine-month period were 8.1% colder than normal and 7.1% colder than the prior-year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Midstream &amp; Marketing revenues increased $159 during the 2026 nine-month period, primarily reflecting (1) higher revenues from natural gas marketing activities ($129), including the effects of capacity management activities, that were primarily impacted by the colder weather; (2) higher revenues from renewable energy ($9); and (3) higher midstream revenues ($8), mainly from higher peaking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Midstream &amp; Marketing cost of sales increased $144 during the 2026 nine-month period, primarily reflecting higher natural gas costs ($127) related to the previously mentioned natural gas marketing activities and higher cost of sales from renewable energy ($9).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Midstream &amp; Marketing total margin increased $15 during the 2026 nine-month period, principally reflecting higher midstream margins, mainly from higher peaking activities.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Midstream &amp; Marketing operating income decreased $9 during the 2026 nine-month period, mainly reflecting higher operating and administrative expenses ($19) and higher depreciation and amortization expense ($5), partially offset by the higher total margin ($15). The increase in operating and administrative expenses was primarily due to higher operating expenses related to renewable energy projects.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Midstream &amp; Marketing earnings before interest expense and income taxes during the 2026 nine-month period decreased $8 compared to the prior-year period, representing the lower operating income ($9).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UGI International</w:t>
      </w:r>
    </w:p>
    <w:tbl>
      <w:tblPr>
        <w:tblW w:w="9248" w:type="dxa"/>
        <w:jc w:val="left"/>
        <w:tblInd w:w="0" w:type="dxa"/>
        <w:tblLayout w:type="fixed"/>
        <w:tblCellMar>
          <w:top w:w="28" w:type="dxa"/>
          <w:left w:w="28" w:type="dxa"/>
          <w:bottom w:w="28" w:type="dxa"/>
          <w:right w:w="28" w:type="dxa"/>
        </w:tblCellMar>
      </w:tblPr>
      <w:tblGrid>
        <w:gridCol w:w="1521"/>
        <w:gridCol w:w="1334"/>
        <w:gridCol w:w="1345"/>
        <w:gridCol w:w="109"/>
        <w:gridCol w:w="109"/>
        <w:gridCol w:w="109"/>
        <w:gridCol w:w="211"/>
        <w:gridCol w:w="616"/>
        <w:gridCol w:w="271"/>
        <w:gridCol w:w="109"/>
        <w:gridCol w:w="109"/>
        <w:gridCol w:w="109"/>
        <w:gridCol w:w="211"/>
        <w:gridCol w:w="616"/>
        <w:gridCol w:w="271"/>
        <w:gridCol w:w="109"/>
        <w:gridCol w:w="109"/>
        <w:gridCol w:w="109"/>
        <w:gridCol w:w="221"/>
        <w:gridCol w:w="457"/>
        <w:gridCol w:w="114"/>
        <w:gridCol w:w="114"/>
        <w:gridCol w:w="114"/>
        <w:gridCol w:w="114"/>
        <w:gridCol w:w="202"/>
        <w:gridCol w:w="204"/>
        <w:gridCol w:w="331"/>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LPG retail gallons sold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Degree days—% (warmer) than normal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revenues less cost of sales.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(b)Deviation from average heating degree days is determined on a rolling 10-year period utilizing volume-weighted weather data at locations in our UGI International service territories.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temperatures during the 2026 nine-month period were 6.6% warmer than normal and 2.3% warmer than the prior-year period. Total LPG retail gallons sold during the 2026 nine-month period decreased 9% compared to the prior-year period, largely attributable to the impacts from the divestitures of certain non-core LPG businesses, lower crop drying campaigns, continued structural conservation and the impact from the warmer weather.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UGI International base-currency results are translated into USD based upon exchange rates experienced during the reporting periods. The functional currency of a significant portion of our UGI International results is the euro and, to a much lesser extent, the British pound sterling. During the 2026 and 2025 nine-month periods, the average unweighted euro-to-USD translation rates were approximately $1.17 and $1.08, respectively, and the average unweighted British pound sterling-to-USD translation rates were approximately $1.34 and $1.29, respectively. Fluctuations in these foreign currency exchange rates can have a significant impact on the individual financial statement components discussed below. The Company uses forward foreign currency exchange contracts entered into over multi-year periods to reduce the volatility in earnings that may result from such changes in foreign currency exchange rates. These forward foreign currency exchange contracts resulted in realized net gains (losses) of ($8) and $7 in the 2026 and 2025 nine-month periods,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wholesale prices for propane and butane during the 2026 nine-month period in northwest Europe were approximately 2.4% lower and 1.5% higher, respectively, compared with the prior-year period. UGI International revenues and cost of sales decreased $93 and $103, respectively, during the 2026 nine-month period compared to the prior-year period. The decrease in revenues was primarily attributable to the lower LPG retail volumes sold and lower LPG prices, largely offset by the translation effects of the stronger foreign currencies (approximately $120). The decrease in cost of sales was mainly attributable to lower LPG retail volumes sold and lower LPG product costs, partially offset by the translation effects of the stronger foreign currencies (approximately $62).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UGI International total margin increased $10 during the 2026 nine-month period, primarily reflecting the translation effects of the stronger foreign currencies (approximately $59) and, to a lesser extent, the effects of higher average unit margins in the 2026 nine-month period, substantially offset by the lower LPG retail volumes sold.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UGI International operating income increased $16 during the 2026 nine-month period, principally reflecting the increase in total margin ($10) and lower depreciation and amortization expenses ($7). Operating and administrative expenses during the 2026 nine-month period were slightly lower than the prior-year period as the impacts from the divestitures of certain non-core LPG businesses and lower personnel expenses were substantially offset by the translation effects of the stronger foreign currencies (approximately $32) and, to a lesser extent, the effects of inflationary increases.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UGI International earnings before interest expense and income taxes increased $1 during the 2026 nine-month period. This increase largely reflects the $16 increase in operating income, substantially offset by higher realized losses on foreign currency exchange contracts ($15) entered into in order to reduce volatility in UGI International earnings resulting from the effects of changes in foreign currency exchange rates.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AmeriGas Propane</w:t>
      </w:r>
    </w:p>
    <w:tbl>
      <w:tblPr>
        <w:tblW w:w="9316" w:type="dxa"/>
        <w:jc w:val="left"/>
        <w:tblInd w:w="0" w:type="dxa"/>
        <w:tblLayout w:type="fixed"/>
        <w:tblCellMar>
          <w:top w:w="28" w:type="dxa"/>
          <w:left w:w="28" w:type="dxa"/>
          <w:bottom w:w="28" w:type="dxa"/>
          <w:right w:w="28" w:type="dxa"/>
        </w:tblCellMar>
      </w:tblPr>
      <w:tblGrid>
        <w:gridCol w:w="1521"/>
        <w:gridCol w:w="1334"/>
        <w:gridCol w:w="1345"/>
        <w:gridCol w:w="109"/>
        <w:gridCol w:w="109"/>
        <w:gridCol w:w="109"/>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216"/>
        <w:gridCol w:w="219"/>
        <w:gridCol w:w="316"/>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margin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expense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gallons sold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Degree days—% (warmer) than normal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(a)Total margin represents total revenues less total cost of sales.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(b)Deviation from average heating degree days is determined on a rolling 10-year period utilizing volume-weighted weather data based on weather statistics provided by NOAA for 344 regions in the U.S., excluding Alaska and Hawaii.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Average temperatures during the 2026 nine-month period were 1.4% warmer than normal and comparable to the prior-year period. Total retail gallons sold decreased 4% compared to the prior-year period as the effects of colder weather in the Eastern U.S. were more than offset by (1) the warmer weather in the Western U.S.; (2) the sale of the LPG operations in Hawaii in September 2025; and (3) continuing customer attrition.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Average daily wholesale propane commodity prices during the 2026 nine-month period at Mont Belvieu, Texas, one of the major supply points in the U.S., were approximately 12% lower than such prices during the 2025 nine-month period. Total revenues decreased $178 during the 2026 nine-month period primarily reflecting the effects of lower retail volumes sold ($70), lower average retail propane selling prices ($48) and lower wholesale revenues ($42).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cost of sales decreased $156 during the 2026 nine-month period largely reflecting lower retail propane product costs ($71), lower wholesale cost of sales ($43) and lower retail volumes sold ($33).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AmeriGas Propane total margin decreased $22 during the 2026 nine-month period reflecting the lower retail propane volumes sold ($37) and lower fee income ($9), largely offset by the impact from higher average retail propane unit margins ($23).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AmeriGas Propane operating income decreased $25 during the 2026 nine-month period, primarily reflecting the lower total margin ($22) and higher operating and administrative expenses ($10), partially offset by lower depreciation and amortization expense ($8). The higher operating and administrative expenses primarily reflects higher advertising and professional-services spending in support of customer retention and growth initiatives, together with higher compensation expenses reflecting annual merit adjustments, partially offset by lower vehicle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AmeriGas Propane earnings before interest expense and income taxes decreased $25 during the 2026 nine-month period, representing the lower operating income ($25).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 and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interest expense during the 2026 nine-month period was $331 compared to $305 during the 2025 nine-month period. The increase in interest expense principally reflects the effects of higher interest rates on long-term debt and higher average long-term debt outstanding at Utilities and UGI International. These increases were partially offset by lower average long-term debt outstanding at AmeriGas Propane and lower average short-term borrowings at UGI International.</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the Company’s effective income tax rate for the 2026 nine-month period primarily reflects the impacts of (1) lower tax reserve releases compared to the prior-year period and (2) higher unrealized gains on commodity derivative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estimated annual effective tax rate is sensitive to changes in the forecasted mix of earnings across jurisdictions and to changes in the fair value of unrealized mark-to-market positions. Unrealized mark-to-market gains and losses on commodity contracts can be material and volatile, and the annual effective tax rate may change significantly in future interim periods if the fair value of these positions changes materially from current estimates.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FINANCIAL CONDITION AND LIQUIDITY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to have sufficient liquidity, including cash on hand and available borrowing capacity, to continue to support long-term commitments and ongoing operations. Our total available liquidity balance, comprising cash and cash equivalents and available borrowing capacity on our revolving credit facilities, totaled approximately $1.9 billion and $1.6 billion at June 30, 2026 and September 30, 2025, respectively. The Company does not have any senior notes or term loans maturing in the next twelve months. UGI and its subsidiaries were in compliance with all of its debt covenants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depend on both internal and external sources of liquidity to provide funds for working capital and to fund capital requirements. Our short-term cash requirements not met by cash from operations are generally satisfied with borrowings under credit facilities and, in the case of Midstream &amp; Marketing, also from a Receivables Facility. Long-term cash requirements are generally met through the issuance of long-term debt, hybrid or equity securities. We believe that each of our business units has sufficient liquidity in the forms of cash and cash equivalents on hand; cash expected to be generated from operations; credit facility and Receivables Facility borrowing capacity; and the ability to obtain long-term financing to meet anticipated contractual and projected cash commitments. Issuances of debt, hybrid and equity securities in the capital markets and additional credit facilities may not, however, be available to us on acceptable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sources of UGI’s cash and cash equivalents are the dividends and other cash payments made to UGI or its corporate subsidiaries by its principal business units. Our cash and cash equivalents totaled $476 at June 30, 2026, compared with $335 at September 30, 2025. Excluding cash and cash equivalents that reside at UGI’s operating subsidiaries, at June 30, 2026 and September 30, 2025, UGI had $334 and $214 of cash and cash equivalents, respectively. Such cash is available to pay dividends on UGI Common Stock and for investment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Long-term Debt and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debt outstanding at June 30, 2026 and September 30, 2025, comprises the following:</w:t>
      </w:r>
    </w:p>
    <w:tbl>
      <w:tblPr>
        <w:tblW w:w="10413" w:type="dxa"/>
        <w:jc w:val="center"/>
        <w:tblInd w:w="0" w:type="dxa"/>
        <w:tblLayout w:type="fixed"/>
        <w:tblCellMar>
          <w:top w:w="28" w:type="dxa"/>
          <w:left w:w="28" w:type="dxa"/>
          <w:bottom w:w="28" w:type="dxa"/>
          <w:right w:w="28" w:type="dxa"/>
        </w:tblCellMar>
      </w:tblPr>
      <w:tblGrid>
        <w:gridCol w:w="510"/>
        <w:gridCol w:w="330"/>
        <w:gridCol w:w="331"/>
        <w:gridCol w:w="211"/>
        <w:gridCol w:w="616"/>
        <w:gridCol w:w="109"/>
        <w:gridCol w:w="109"/>
        <w:gridCol w:w="109"/>
        <w:gridCol w:w="109"/>
        <w:gridCol w:w="310"/>
        <w:gridCol w:w="685"/>
        <w:gridCol w:w="161"/>
        <w:gridCol w:w="109"/>
        <w:gridCol w:w="109"/>
        <w:gridCol w:w="109"/>
        <w:gridCol w:w="260"/>
        <w:gridCol w:w="760"/>
        <w:gridCol w:w="136"/>
        <w:gridCol w:w="109"/>
        <w:gridCol w:w="109"/>
        <w:gridCol w:w="109"/>
        <w:gridCol w:w="211"/>
        <w:gridCol w:w="616"/>
        <w:gridCol w:w="109"/>
        <w:gridCol w:w="109"/>
        <w:gridCol w:w="109"/>
        <w:gridCol w:w="109"/>
        <w:gridCol w:w="211"/>
        <w:gridCol w:w="616"/>
        <w:gridCol w:w="109"/>
        <w:gridCol w:w="109"/>
        <w:gridCol w:w="109"/>
        <w:gridCol w:w="109"/>
        <w:gridCol w:w="109"/>
        <w:gridCol w:w="109"/>
        <w:gridCol w:w="216"/>
        <w:gridCol w:w="632"/>
        <w:gridCol w:w="113"/>
        <w:gridCol w:w="109"/>
        <w:gridCol w:w="109"/>
        <w:gridCol w:w="109"/>
        <w:gridCol w:w="211"/>
        <w:gridCol w:w="61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130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Midstream &amp; Marketing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UGI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AmeriGas Propane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Significant Financing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significant financing activities occurred during Fiscal 2026. See Note 8 to Condensed Consolidated Financial Statements for additional information on these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AmeriGas Partners Senior Notes. </w:t>
      </w:r>
      <w:r>
        <w:rPr>
          <w:rFonts w:ascii="Times New Roman;serif" w:hAnsi="Times New Roman;serif"/>
          <w:b w:val="false"/>
          <w:color w:val="000000"/>
          <w:sz w:val="20"/>
        </w:rPr>
        <w:t>In May 2026, AmeriGas Partners and AmeriGas Finance Corp. issued $500 aggregate principal amount of 6.875% Senior Notes due June 2031. The net proceeds from the issuance of the 6.875% Senior Notes, together with cash on hand and a $300 equity contribution from UGI, funded through a dividend from UGI International, LLC, were used to (1) repay in full the $512 outstanding principal balance of the 5.750% Senior Notes, due May 2027, pursuant to a tender offer and notice of redemption, plus tender and make-whole premiums and accrued and unpaid interest; (2) repurchase $175 aggregate principal amount of the 9.375% Senior Notes, due June 2028, pursuant to a tender offer, plus tender premiums and accrued and unpaid interest, resulting in $318 aggregate principal amount of 9.375% Senior Notes outstanding as of June 30, 2026; (3) repay in full the $150 outstanding borrowings of the intercompany loan with UGI International, plus accrued and unpaid interest; and (4) pay related fees and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UGI International Senior Notes. </w:t>
      </w:r>
      <w:r>
        <w:rPr>
          <w:rFonts w:ascii="Times New Roman;serif" w:hAnsi="Times New Roman;serif"/>
          <w:b w:val="false"/>
          <w:color w:val="000000"/>
          <w:sz w:val="20"/>
        </w:rPr>
        <w:t>In May 2026, UGI International, LLC issued €300 aggregate principal amount of 5.00% Senior Notes due June 2031.The net proceeds from the issuance of the 5.00% Senior Notes, together with the $150 intercompany loan repayment received from AmeriGas Partners, were used to (1) prepay €70 aggregate principal amount of the Term Loan, due March 2028, plus accrued and unpaid interest, resulting in €230 aggregate principal amount of the Term Loan outstanding as of June 30, 2026; (2) pay related fees and expenses; (3) reduce short-term borrowings; and (4) fund general corporate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UGI Utilities Senior Notes. </w:t>
      </w:r>
      <w:r>
        <w:rPr>
          <w:rFonts w:ascii="Times New Roman;serif" w:hAnsi="Times New Roman;serif"/>
          <w:b w:val="false"/>
          <w:color w:val="000000"/>
          <w:sz w:val="20"/>
        </w:rPr>
        <w:t xml:space="preserve">In July 2025, UGI Utilities entered into a note purchase agreement with a consortium of lenders. Pursuant to the note purchase agreement, in November 2025, UGI Utilities issued $150 aggregate principal amount of 5.10% Senior Notes due November 15, 2030, and $125 aggregate principal amount of 5.68% Senior Notes due November 15, 2035. UGI Utilities used the net proceeds from the issuance of these senior notes to (1) repay the $100 outstanding principal balance of the 1.59% Senior Notes, due June 2026 and $75 outstanding principal balance of the 1.64% Senior Notes, due September 2026; (2) reduce short-term borrowings; and (3) for general corporate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2026, UGI Utilities repaid the $100 outstanding principal balance of the 2.95% Senior Notes due June 2026 upon maturity.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Energy Services Term Loan Credit Agreement.</w:t>
      </w:r>
      <w:r>
        <w:rPr>
          <w:color w:val="000000"/>
        </w:rPr>
        <w:t xml:space="preserve"> </w:t>
      </w:r>
      <w:r>
        <w:rPr>
          <w:rFonts w:ascii="Times New Roman;serif" w:hAnsi="Times New Roman;serif"/>
          <w:b w:val="false"/>
          <w:color w:val="000000"/>
          <w:sz w:val="20"/>
        </w:rPr>
        <w:t>In June 2026, Energy Services entered into the fourth amendment to the Energy Services Term Loan Credit Agreement. The Energy Services Term Loan Credit Agreement, as amended, provides, among other items, that the applicable margin shall be 2.00% per annum for Term SOFR loans and 1.00% per annum for base rate loans. All other significant terms of the term loan credit agreement remain unchanged.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information related to the Company’s credit agreements can be found in Item 7, “Management’s Discussion and Analysis of Financial Condition and Results of Operations,” and Note 6 to Consolidated Financial Statements in the Company’s 2025 Annual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the Company’s principal credit agreements (excluding the Receivables Facility discussed below) as of June 30, 2026 and 2025, is presented in the table below.</w:t>
      </w:r>
    </w:p>
    <w:tbl>
      <w:tblPr>
        <w:tblW w:w="10205" w:type="dxa"/>
        <w:jc w:val="left"/>
        <w:tblInd w:w="0" w:type="dxa"/>
        <w:tblLayout w:type="fixed"/>
        <w:tblCellMar>
          <w:top w:w="28" w:type="dxa"/>
          <w:left w:w="28" w:type="dxa"/>
          <w:bottom w:w="28" w:type="dxa"/>
          <w:right w:w="28" w:type="dxa"/>
        </w:tblCellMar>
      </w:tblPr>
      <w:tblGrid>
        <w:gridCol w:w="760"/>
        <w:gridCol w:w="619"/>
        <w:gridCol w:w="544"/>
        <w:gridCol w:w="109"/>
        <w:gridCol w:w="109"/>
        <w:gridCol w:w="109"/>
        <w:gridCol w:w="286"/>
        <w:gridCol w:w="591"/>
        <w:gridCol w:w="138"/>
        <w:gridCol w:w="109"/>
        <w:gridCol w:w="109"/>
        <w:gridCol w:w="109"/>
        <w:gridCol w:w="443"/>
        <w:gridCol w:w="914"/>
        <w:gridCol w:w="215"/>
        <w:gridCol w:w="109"/>
        <w:gridCol w:w="109"/>
        <w:gridCol w:w="109"/>
        <w:gridCol w:w="771"/>
        <w:gridCol w:w="1386"/>
        <w:gridCol w:w="376"/>
        <w:gridCol w:w="109"/>
        <w:gridCol w:w="109"/>
        <w:gridCol w:w="109"/>
        <w:gridCol w:w="492"/>
        <w:gridCol w:w="1016"/>
        <w:gridCol w:w="346"/>
      </w:tblGrid>
      <w:tr>
        <w:trPr/>
        <w:tc>
          <w:tcPr>
            <w:tcW w:w="7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Borrowings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Letters of Credit and Guarantees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Available Borrowing Capacity</w:t>
            </w:r>
          </w:p>
        </w:tc>
      </w:tr>
      <w:tr>
        <w:trPr/>
        <w:tc>
          <w:tcPr>
            <w:tcW w:w="19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AmeriGas OLP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International, LLC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Mountaineer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Corporation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AmeriGas OLP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International, LLC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Mountaineer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Corporation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maximum amount available for borrowing at any time under the AmeriGas Senior Secured Revolving Credit Facility is limited to the borrowing base valuation, as defined in the agreement.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(b)Permits UGI International, LLC or UGI International Holdings B.V. to borrow in euros or USD.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(c)Borrowings outstanding are classified as long-term debt on the balance sheet.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average daily and peak short-term borrowings under the Company’s principal credit agreements are as follows:</w:t>
      </w:r>
    </w:p>
    <w:tbl>
      <w:tblPr>
        <w:tblW w:w="7322" w:type="dxa"/>
        <w:jc w:val="left"/>
        <w:tblInd w:w="0" w:type="dxa"/>
        <w:tblLayout w:type="fixed"/>
        <w:tblCellMar>
          <w:top w:w="28" w:type="dxa"/>
          <w:left w:w="28" w:type="dxa"/>
          <w:bottom w:w="28" w:type="dxa"/>
          <w:right w:w="28" w:type="dxa"/>
        </w:tblCellMar>
      </w:tblPr>
      <w:tblGrid>
        <w:gridCol w:w="728"/>
        <w:gridCol w:w="638"/>
        <w:gridCol w:w="643"/>
        <w:gridCol w:w="109"/>
        <w:gridCol w:w="109"/>
        <w:gridCol w:w="109"/>
        <w:gridCol w:w="270"/>
        <w:gridCol w:w="558"/>
        <w:gridCol w:w="130"/>
        <w:gridCol w:w="130"/>
        <w:gridCol w:w="130"/>
        <w:gridCol w:w="130"/>
        <w:gridCol w:w="270"/>
        <w:gridCol w:w="558"/>
        <w:gridCol w:w="130"/>
        <w:gridCol w:w="109"/>
        <w:gridCol w:w="109"/>
        <w:gridCol w:w="109"/>
        <w:gridCol w:w="269"/>
        <w:gridCol w:w="556"/>
        <w:gridCol w:w="130"/>
        <w:gridCol w:w="130"/>
        <w:gridCol w:w="130"/>
        <w:gridCol w:w="130"/>
        <w:gridCol w:w="269"/>
        <w:gridCol w:w="556"/>
        <w:gridCol w:w="183"/>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Peak</w:t>
            </w:r>
          </w:p>
        </w:tc>
      </w:tr>
      <w:tr>
        <w:trPr/>
        <w:tc>
          <w:tcPr>
            <w:tcW w:w="20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AmeriGas OLP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International,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Mountaineer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UGI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Energy Services Receivables Facility.</w:t>
      </w:r>
      <w:r>
        <w:rPr>
          <w:color w:val="000000"/>
        </w:rPr>
        <w:t xml:space="preserve"> </w:t>
      </w:r>
      <w:r>
        <w:rPr>
          <w:rFonts w:ascii="Times New Roman;serif" w:hAnsi="Times New Roman;serif"/>
          <w:b w:val="false"/>
          <w:color w:val="000000"/>
          <w:sz w:val="20"/>
        </w:rPr>
        <w:t xml:space="preserve">Energy Services has a Receivables Facility with an issuer of receivables-backed commercial paper. In October 2025, the expiration date of the Receivables Facility was extended to October 2026. The Receivables Facility provides Energy Services with the ability to borrow up to $150 of eligible receivables during the period October 17, 2025 to April 30, 2026, and up to $75 of eligible receivables during the period May 1, 2026 to October 16, 2026, with the option to request consent for an increase of $50. Energy Services uses the Receivables Facility to fund working capital, margin calls under commodity futures contracts, capital expenditures, dividends and for general corporate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Receivables Facility, Energy Services transfers, on an ongoing basis and without recourse, its trade accounts receivable to its wholly owned, special purpose subsidiary, ESFC, which is consolidated for financial statement purposes. ESFC, in turn, has sold and, subject to certain conditions, may from time to time sell, an undivided interest in some or all of the receivables to a major bank. Amounts sold to the bank are reflected as “Short-term borrowings” on the Condensed Consolidated Balance Sheets. ESFC was created and has been structured to isolate its assets from creditors of Energy Services and its affiliates, including UGI. Trade receivables sold to the bank remain on the Company’s balance sheet and the Company reflects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liability equal to the amount advanced by the bank. The Company records interest expense on amounts owed to the bank. Energy Services continues to service, administer and collect trade receivables on behalf of the bank, as applicable.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the outstanding balance of ESFC trade receivables was $65, none of which were sold to the bank. At June 30, 2025, the outstanding balance of ESFC trade receivables was $58, $13 of which were sold to the bank. During the nine months ended June 30, 2026, peaks sales of receivables was $110 and average daily amounts sold were $5. During the nine months ended June 30, 2025, peaks sales of receivables was $13 and average daily amounts sold were not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 and Repurchases of Common Stock</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On November 20, 2025, UGI’s Board of Directors declared a cash dividend equal to $0.375 per common share. The dividend was paid on January 1, 2026, to shareholders of record on December 15, 2025. On February 4, 2026, UGI’s Board of Directors declared a cash dividend equal to $0.375 per common share. The dividend was paid on April 1, 2026, to shareholders of record on March 16, 2026. On May 6, 2026, UGI’s Board of Directors declared a quarterly dividend of $0.375 per common share. The dividend was paid on July 1, 2026, to shareholders of record on June 15, 2026. On August 5, 2026, UGI’s Board of Directors declared a cash dividend equal to $0.375 per common share. The dividend is payable October 1, 2026, to shareholders of record on September 15, 2026.</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Pursuant to the UGI share repurchase program authorized in February 2026, which allows for the repurchase of up to 8 million shares of Common Stock, during the nine months ended June 30, 2026, the Company purchased 0.6 million shares of Common Stock on the open market at a total purchase price of $23. The Company did not repurchase any shares of Common Stock during the third quarter of Fiscal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seasonal nature of the Company’s businesses, cash flows from operating activities are generally strongest during the second and third fiscal quarters when customers pay for natural gas, LPG, electricity and other energy products and services consumed during the peak heating season months. Conversely, operating cash flows are generally at their lowest levels during the fourth and first fiscal quarters when the Company’s investment in working capital, principally inventories and accounts receivable, is generally greatest.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 xml:space="preserve">Year-to-year variations in our cash flows from operating activities can be significantly affected by changes in operating working capital, especially during periods with significant changes in energy commodity prices.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provided by operating activities was $972 in the 2026 nine-month period compared to $1,137 in the 2025 nine-month period. Cash flow provided by operating activities before changes in operating working capital was $1,206 in the 2026 nine-month period compared to $1,238 in the 2025 nine-month period. Cash used to fund changes in operating working capital totaled $234 in the 2026 nine-month period, as compared to the $101 in the 2025 nine-month period. The increase in cash required to fund changes in operating working capital in the 2026 nine-month period reflects, among other things, an increase in cash used to fund changes in other current liabilities, offset by lower cash required to fund changes in inventories, accounts payable and other current assets and an increase in derivative instrument collateral deposits received.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 xml:space="preserve">Investing activity cash flow is principally affected by cash expenditures for property, plant and equipment; cash paid for acquisitions of businesses and assets; investments in equity method investees; and cash activity associated with dispositions of businesses and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used by investing activities was $469 in the 2026 nine-month period compared to $499 in the 2025 nine-month period. Cash expenditures for property, plant and equipment were $617 in the 2026 nine-month period compared with $579 in the 2025 nine-month period. These increases were more than offset by (1) higher cash proceeds from the disposals of certain non-core assets from our LPG business at UGI International in Fiscal 2026; and (2) lower expenditures on our investments in equity method investments during the 2026 nine-month period at our Midstream &amp; Marketing segment.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Changes in cash flow from financing activities are primarily due to issuances and repayments of long-term debt; net short-term borrowings; dividends on UGI Common Stock; and issuances and repurchases of equity instruments.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used by financing activities was $326 in the 2026 nine-month period compared to $505 in the 2025 nine-month period. Both periods include $241 each of dividends on Common Stock. The 2026 nine-month period includes, among other things, (1) the issuance by UGI Utilities of $275 aggregate principal amount of new senior notes; (2) the repayment by UGI Utilities of $275 outstanding aggregate principal amount of its senior notes; (3) the repayment by AmeriGas Propane of $687 aggregate principal amount of its senior notes; (4) the issuance by AmeriGas Propane of $500 principal amount of new senior notes; (5) the issuance by UGI International of $345 aggregate principal amount of new senior notes; (6) a partial repayment by UGI International of $81 outstanding principal amount of its term loan; (7) net repayments of short-term borrowings of $149 and (8) the repurchase of $23 of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2025 nine-month period includes, among other things, (1) the issuance by UGI Utilities of $175 principal amount of new senior notes; (2) entering into the UGI Corporation 2025 Credit Agreement consisting of (a) a $475 revolving credit facility and (b) a $400 variable-rate term loan, proceeds from the UGI Corporation 2025 Credit Agreement were used to repay all borrowings under the UGI Corporation Credit Facility Agreement; (3) the repayment by AmeriGas Propane of the $218 outstanding aggregate principal amount of its senior notes; (4) the issuance by Mountaineer of $70 principal amount of new senior notes; (5) the issuance by AmeriGas Propane of $550 principal amount of new senior notes; and (6) the repayment by AmeriGas Propane of the $664 outstanding aggregate principal amount of its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UTILITY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UGI Utilities.</w:t>
      </w:r>
      <w:r>
        <w:rPr>
          <w:color w:val="000000"/>
        </w:rPr>
        <w:t> </w:t>
      </w:r>
      <w:r>
        <w:rPr>
          <w:rFonts w:ascii="Times New Roman;serif" w:hAnsi="Times New Roman;serif"/>
          <w:b w:val="false"/>
          <w:color w:val="000000"/>
          <w:sz w:val="20"/>
        </w:rPr>
        <w:t>On March 27, 2026, Electric Utility filed a rate request with the PAPUC to increase its annual base distribution revenues by $17. The increased revenues would fund ongoing system improvements and operations necessary to maintain safe and reliable electric service. Electric Utility requested that the new electric rates become effective June 1, 2026. The PAPUC entered an order on April 16, 2026, suspending the effective date for the rate increase to allow for investigation and public hearings. Unless a settlement is reached sooner, the review process is expected to last up to nine months from the date of filing. The Company cannot predict the timing or the ultimate outcome of the rate case review process.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January 28, 2026, PA Gas Utility filed a request with the PAPUC to increase its base operating revenues for residential, commercial and industrial customers by $99 annually. On July 6, 2026, a joint petition for approval of settlement of all issues was filed with the PAPUC. It provided for a $65 annual base distribution rate increase, through a phased approach, with an increase of $40 effective October 1, 2026 and an additional increase of $25 effective October 1, 2027. It also provided for maintenance of the weather normalization adjustment through the end of the second pilot period with modification. In accordance with the terms of the joint petition, PA Gas Utility will not be permitted to file a general rate increase request prior to January 15, 2029.</w:t>
      </w:r>
      <w:r>
        <w:rPr>
          <w:color w:val="000000"/>
        </w:rPr>
        <w:t xml:space="preserve"> </w:t>
      </w:r>
      <w:r>
        <w:rPr>
          <w:rFonts w:ascii="Times New Roman;serif" w:hAnsi="Times New Roman;serif"/>
          <w:b w:val="false"/>
          <w:color w:val="000000"/>
          <w:sz w:val="20"/>
        </w:rPr>
        <w:t>On July 31, 2026, the presiding PAPUC administrative law judges recommended that the settlement be approved without modification. The joint petition remains subject to receipt of a final order of the PAPUC approving the settlement. The Company cannot predict the timing or the ultimate outcome of the rate case review process.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27, 2025, PA Gas Utility filed a request with the PAPUC to increase its base operating revenues for residential, commercial and industrial customers by $110 annually. On September 11, 2025, the PAPUC issued a final order approving a settlement providing for a $70 annual base distribution rate increase, effective October 28, 2025, and maintenance of the weather normalization adjustment through the end of its pilot period with modification.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Mountaineer. </w:t>
      </w:r>
      <w:r>
        <w:rPr>
          <w:rFonts w:ascii="Times New Roman;serif" w:hAnsi="Times New Roman;serif"/>
          <w:b w:val="false"/>
          <w:color w:val="000000"/>
          <w:sz w:val="20"/>
        </w:rPr>
        <w:t>On February 3, 2026, WV Gas Utility submitted a base rate case filing with the WVPSC seeking a net revenue increase of $27, which consisted of an increase in base rates of $44 and a decrease in the IREP rates of $17 annually. The increased revenues would fund ongoing system improvements and operations necessary to maintain safe and reliable natural gas service. WV Gas Utility requested the new gas rates become effective March 5, 2026. The WVPSC entered an order on March 2, 2026, suspending the effective date for the rate increase to allow for a full review of the filing and public hearings. Unless a settlement is reached sooner, the review process is expected to last up to 270 days from the date of filing. The Company cannot predict the timing or the ultimate outcome of the rate case review process.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2026, WV Gas Utility submitted its 2026 IREP filing to the WVPSC requesting recovery of $14, an increase of $9, for costs associated with capital investments after September 30, 2025, that total $180, including $83 in calendar year 2027. The filing included capital investments totaling $475 over the 2027 - 2031 period. An order from the WVPSC is expected in December with new rates effective January 1, 2027.</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WV Gas Utility submitted its 2025 IREP filing to the WVPSC requesting recovery of $24, an increase of $5, for costs associated with capital investments after December 31, 2022, that total $274, including $77 in calendar year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filing included capital investments totaling $445 over the 2026 - 2030 period. On December 17, 2025, the WVPSC issued an order approving WV Gas Utility’s request, with new rates effective January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2024, WV Gas Utility submitted its 2024 IREP filing to the WVPSC requesting recovery of $19, which includes $3 of prior year under-recovery, for costs associated with capital investments after December 31, 2022, that total $197, including $74 in calendar year 2025. The filing included capital investments totaling $418 over the 2025 - 2029 period. On October 28, 2024, the WVPSC issued an order approving WV Gas Utility’s request, with new rates effective January 1, 2025.</w:t>
      </w:r>
    </w:p>
    <w:p>
      <w:pPr>
        <w:pStyle w:val="TextBody"/>
        <w:bidi w:val="0"/>
        <w:spacing w:before="200" w:after="283"/>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West Reading, Pennsylvania Explosion</w:t>
      </w:r>
      <w:r>
        <w:rPr>
          <w:rFonts w:ascii="Times New Roman;serif" w:hAnsi="Times New Roman;serif"/>
          <w:b/>
          <w:color w:val="000000"/>
          <w:sz w:val="20"/>
        </w:rPr>
        <w:t xml:space="preserve">. </w:t>
      </w:r>
      <w:r>
        <w:rPr>
          <w:rFonts w:ascii="Times New Roman;serif" w:hAnsi="Times New Roman;serif"/>
          <w:b w:val="false"/>
          <w:color w:val="000000"/>
          <w:sz w:val="20"/>
        </w:rPr>
        <w:t xml:space="preserve">On March 24, 2023, an explosion occurred in West Reading, Pennsylvania which resulted in seven fatalities, injuries to at least ten others, and extensive property damage to buildings owned by R.M. Palmer, a local chocolate manufacturer, and neighboring structures. The NTSB and PAPUC investigated the West Reading incident. The NTSB investigative team included representatives from the Company, the local fire department and the Pipeline and Hazardous Materials Safety Administration. The Company cooperated with the investigations. In September 2023, OSHA closed their investigation of this matter, without any finding pertaining to UGI Utilities.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10, 2024, the NTSB staff presented its draft findings to the NTSB Board. On April 8, 2025, the NTSB released its final report concluding that a fracture in an R.M. Palmer steam pipe created elevated underground temperatures that caused thermal degradation of a UGI Utilities service tee, resulting in a natural gas leak, and recommended UGI Utilities inventory and address risks to plastic gas assets in high-temperature environments.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the PAPUC filed a formal complaint against UGI Utilities. The complaint alleges various pipeline safety violations and seeks civil penalties. The Company is vigorously defending against the allegations in the complaint. The Company does not believe the resolution of this matter will have a material adverse effect on its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received claims as a result of the explosion and is involved in lawsuits relative to the incident. With the issuance of the final NTSB report, discovery in the litigation has begun. The Company maintains liability insurance for personal injury, property and casualty damages and believes that third-party claims associated with the explosion, in excess of the Company’s deductible, are recoverable through the Company’s insurance. The Company cannot predict the result of these pending or future claims and legal actions at this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Regarding these pending claims and legal actions, other than as disclosed above, the Company does not believe, at this early stage, that there is sufficient information available to reasonably estimate a range of loss, if any, or conclude that the final outcome of all of these matters will or will not have a material adverse effect on our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described above, there are other pending claims and legal actions arising in the normal course of our businesses. Although we cannot predict the final results of these pending claims and legal actions, including those described above, we believe, after consultation with counsel, that the final outcome of these matters will not have a material effect on our financial statements.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primary market risk exposures are (1) commodity price risk; (2) interest rate risk; and (3) foreign currency exchange rate risk. Although we use derivative financial and commodity instruments to reduce market price risk associated with forecasted transactions, we do not use derivative financial and commodity instruments for speculative or trading purposes.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risk associated with fluctuations in the prices the Partnership and our UGI International operations pay for LPG is principally a result of market forces reflecting changes in supply and demand for LPG and other energy commodities. Their profitability is sensitive to changes in LPG supply costs. Increases in supply costs are generally passed on to customers. The Partnership and UGI International may not, however, always be able to pass through product cost increases fully or on a timely basis, particularly when product costs rise rapidly. In order to reduce the volatility of LPG market price risk, the Partnership uses contracts for the forward purchase or sale of propane, propane fixed-price supply agreements and over-the-counter derivative commodity instruments including price swap and option contracts. Our UGI International operations use over-the-counter derivative commodity instruments and may from time to time enter into other derivative contracts, similar to those used by the Partnership, to reduce market risk associated with a portion of their LPG purchases. Over-the-counter derivative commodity instruments used to economically hedge forecasted purchases of LPG are generally settled at expiration of the contract.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Utilities’ tariffs contain clauses that permit recovery of all prudently incurred costs of natural gas it sells to its retail core-market customers, including the cost of financial instruments used to hedge purchased gas costs. The recovery clauses provide for periodic adjustments for the difference between the total amounts actually billed to customers through PGC and PGA rates and the recoverable costs incurred. Because of this ratemaking mechanism, there is limited commodity price risk associated with our Utilities operations. PA Gas Utility uses derivative financial instruments, including natural gas futures and option contracts traded on the NYMEX, to reduce volatility in the cost of gas it purchases for its retail core-market customers. The cost of these derivative financial instruments, net of any associated gains or losses, is included in PA Gas Utility's PGC recovery mechanism.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manage market price risk relating to substantially all of Midstream &amp; Marketing’s fixed-price sale contracts for physical natural gas, Midstream &amp; Marketing enters into NYMEX, ICE and over-the-counter natural gas and electricity futures and option contracts, and natural gas basis swap contracts or enters into fixed-price supply arrangements. Although Midstream &amp; Marketing’s fixed-price supply arrangements mitigate most risks associated with its fixed-price sales contracts, should any of the suppliers under these arrangements fail to perform, increases, if any, in the cost of replacement natural gas would adversely impact Midstream &amp; Marketing’s results. In order to reduce this risk of supplier nonperformance, Midstream &amp; Marketing has diversified its purchases across a number of suppliers. In order to manage market price risk relating to fixed-price sales contracts for electricity, Midstream &amp; Marketing entered into electricity futures and forward contracts.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both fixed-rate and variable-rate debt. Changes in interest rates impact the cash flows of variable-rate debt but generally do not impact their fair value. Conversely, changes in interest rates impact the fair value of fixed-rate debt but do not impact their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variable-rate debt at June 30, 2026, includes revolving credit facility borrowings and variable-rate term loans at UGI International, Utilities, Energy Services and UGI Corporation. These debt agreements have interest rates that are generally indexed to short-term market interest rates. We have entered into pay-fixed, receive-variable interest rate swap agreements on a significant portion of the term loans’ principal balances and a significant portion of the term loans’ tenor. We have designated these interest rate swaps as cash flow hedges. At June 30, 2026, combined borrowings outstanding under variable-rate debt agreements, excluding the previously mentioned effectively fixed-rate debt, totaled $769.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debt associated with our domestic businesses is typically issued at fixed rates of interest based upon market rates for debt with similar terms and credit ratings. As these long-term debt issues mature, we may refinance such debt with new debt having interest rates reflecting then-current market conditions. In order to reduce interest rate risk associated with near- to medium-term forecasted issuances of fixed rate debt, from time to time we enter into IRPAs.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(Currency in millions, except per share amounts and where indicated otherwise)</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primary currency exchange rate risk is associated with the USD versus the euro and, to a lesser extent, the USD versus the British pound sterling. The USD value of our foreign currency denominated assets and liabilities will fluctuate with changes in the associated foreign currency exchange rates. From time to time, we use derivative instruments to hedge portions of our net investments in foreign subsidiaries, including anticipated foreign currency denominated dividends. Gains or losses on these net investment hedges remain in AOCI until such foreign operations are sold or liquidated. With respect to our net investments in our UGI International operations, a 10% decline in the value of the associated foreign currencies versus the USD would reduce their aggregate net book value at June 30, 2026, by approximately $70, which amount would be reflected in other comprehensive income. We have designated certain euro-denominated borrowings as net investment hedges.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order to reduce the volatility in net income associated with our foreign operations, principally as a result of changes in the USD exchange rate between the euro and British pound sterling, we enter into forward foreign currency exchange contracts. We layer in these foreign currency exchange contracts over a multi-year period to eventually equal approximately 90% of anticipated UGI International foreign currency earnings before income taxes.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Derivative Instrument 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risk of loss in the event of nonperformance by our derivative instrument counterparties. Our derivative instrument counterparties principally comprise large energy companies and major U.S. and international financial institutions. We maintain credit policies with regard to our counterparties that we believe reduce overall credit risk. These policies include evaluating and monitoring our counterparties’ financial condition, including their credit ratings, and entering into agreements with counterparties that govern credit limits or entering into netting agreements that allow for offsetting counterparty receivable and payable balances for certain financial transactions, as deemed appropriate.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concentrations of credit risk associated with derivative instruments and we evaluate the creditworthiness of our derivative counterparties on an ongoing basis. As of June 30, 2026, the maximum amount of loss, based upon the gross fair values of the derivative instruments, we would incur if these counterparties failed to perform according to the terms of their contracts was $112. In general, many of our over-the-counter derivative instruments and all exchange contracts call for the posting of collateral by the counterparty or by the Company in the forms of letters of credit, parental guarantees or cash. At June 30, 2026, we received cash collateral from derivative instrument counterparties totaling $1. In addition, we may have offsetting derivative liabilities and certain accounts payable balances with certain of these counterparties, which further mitigates the previously mentioned maximum amount of losses. Certain of the Partnership’s derivative contracts have credit-risk-related contingent features that may require the posting of additional collateral in the event of a downgrade of the Partnership’s debt rating. At June 30, 2026, if the credit-risk-related contingent features were triggered, the amount of collateral required to be posted would not be material.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of unsettled market risk sensitive derivative instrument assets (liabilities) held at June 30, 2026 and changes in their fair values due to market risks. Certain of UGI Utilities’ commodity derivative instruments are excluded from the table below because any associated net gains or losses are refundable to or recoverable from customers in accordance with UGI Utilities ratemaking.</w:t>
      </w:r>
    </w:p>
    <w:tbl>
      <w:tblPr>
        <w:tblW w:w="5874" w:type="dxa"/>
        <w:jc w:val="left"/>
        <w:tblInd w:w="0" w:type="dxa"/>
        <w:tblLayout w:type="fixed"/>
        <w:tblCellMar>
          <w:top w:w="28" w:type="dxa"/>
          <w:left w:w="28" w:type="dxa"/>
          <w:bottom w:w="28" w:type="dxa"/>
          <w:right w:w="28" w:type="dxa"/>
        </w:tblCellMar>
      </w:tblPr>
      <w:tblGrid>
        <w:gridCol w:w="1188"/>
        <w:gridCol w:w="1042"/>
        <w:gridCol w:w="1055"/>
        <w:gridCol w:w="109"/>
        <w:gridCol w:w="109"/>
        <w:gridCol w:w="109"/>
        <w:gridCol w:w="293"/>
        <w:gridCol w:w="501"/>
        <w:gridCol w:w="151"/>
        <w:gridCol w:w="109"/>
        <w:gridCol w:w="109"/>
        <w:gridCol w:w="109"/>
        <w:gridCol w:w="261"/>
        <w:gridCol w:w="539"/>
        <w:gridCol w:w="190"/>
      </w:tblGrid>
      <w:tr>
        <w:trPr/>
        <w:tc>
          <w:tcPr>
            <w:tcW w:w="118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(Liability)</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in</w:t>
              <w:br/>
              <w:t>Fair Value</w:t>
            </w:r>
          </w:p>
        </w:tc>
      </w:tr>
      <w:tr>
        <w:trPr/>
        <w:tc>
          <w:tcPr>
            <w:tcW w:w="3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risk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risk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risk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Change in fair value represents a 10% adverse change in the market prices of certain commodities.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Change in fair value represents a 50 basis point adverse change in prevailing market interest rates.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(3) Change in fair value represents a 10% adverse change in the value of the Euro and the British pound sterling versus the USD.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(a)Evaluation of Disclosure Controls and Procedures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disclosure controls and procedures are designed to provide reasonable assurance that the information required to be disclosed by the Company in reports filed or submitted under the Securities Exchange Act of 1934, as amended,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effective at the reasonable assurance level.</w:t>
      </w:r>
    </w:p>
    <w:p>
      <w:pPr>
        <w:pStyle w:val="TextBody"/>
        <w:bidi w:val="0"/>
        <w:spacing w:before="100" w:after="283"/>
        <w:jc w:val="both"/>
        <w:rPr/>
      </w:pPr>
      <w:r>
        <w:rPr/>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(b)Change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change in the Company’s internal control over financial reporting occurred during the Company’s most recent fiscal quarter that has materially affected, or is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Note 9 to Condensed Consolidated Financial Statements included in Item 1 of Part I of this report,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information presented in this report, you should carefully consider the factors discussed in Part I, “Item 1A. Risk Factors” in our 2025 Annual Report, which could materially affect our business, financial condition or future results. The risks described in our 2025 Annual Report are not the only risks facing the Company. Other unknown or unpredictable factors could also have material adverse effects on future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exhibits filed as part of this report are as follows (exhibits incorporated by reference are set forth with the name of the registrant, the type of report and last date of the period for which it was filed, and the exhibit number in such filing):</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Incorporation by Reference</w:t>
      </w:r>
    </w:p>
    <w:tbl>
      <w:tblPr>
        <w:tblW w:w="10205" w:type="dxa"/>
        <w:jc w:val="left"/>
        <w:tblInd w:w="0" w:type="dxa"/>
        <w:tblLayout w:type="fixed"/>
        <w:tblCellMar>
          <w:top w:w="28" w:type="dxa"/>
          <w:left w:w="28" w:type="dxa"/>
          <w:bottom w:w="28" w:type="dxa"/>
          <w:right w:w="28" w:type="dxa"/>
        </w:tblCellMar>
      </w:tblPr>
      <w:tblGrid>
        <w:gridCol w:w="249"/>
        <w:gridCol w:w="218"/>
        <w:gridCol w:w="221"/>
        <w:gridCol w:w="109"/>
        <w:gridCol w:w="109"/>
        <w:gridCol w:w="109"/>
        <w:gridCol w:w="2107"/>
        <w:gridCol w:w="1890"/>
        <w:gridCol w:w="1910"/>
        <w:gridCol w:w="109"/>
        <w:gridCol w:w="109"/>
        <w:gridCol w:w="109"/>
        <w:gridCol w:w="290"/>
        <w:gridCol w:w="290"/>
        <w:gridCol w:w="291"/>
        <w:gridCol w:w="109"/>
        <w:gridCol w:w="109"/>
        <w:gridCol w:w="109"/>
        <w:gridCol w:w="249"/>
        <w:gridCol w:w="249"/>
        <w:gridCol w:w="251"/>
        <w:gridCol w:w="109"/>
        <w:gridCol w:w="109"/>
        <w:gridCol w:w="109"/>
        <w:gridCol w:w="198"/>
        <w:gridCol w:w="198"/>
        <w:gridCol w:w="286"/>
      </w:tblGrid>
      <w:tr>
        <w:trPr/>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Indenture, dated as of May 20, 2026, between </w:t>
              </w:r>
            </w:hyperlink>
            <w:hyperlink r:id="rId3">
              <w:r>
                <w:rPr>
                  <w:rStyle w:val="InternetLink"/>
                  <w:rFonts w:ascii="Times New Roman;serif" w:hAnsi="Times New Roman;serif"/>
                  <w:b w:val="false"/>
                  <w:color w:val="000080"/>
                  <w:sz w:val="20"/>
                  <w:u w:val="single"/>
                </w:rPr>
                <w:t>AmeriGas Partners, L.P. and AmeriGas Fin</w:t>
              </w:r>
            </w:hyperlink>
            <w:hyperlink r:id="rId4">
              <w:r>
                <w:rPr>
                  <w:rStyle w:val="InternetLink"/>
                  <w:rFonts w:ascii="Times New Roman;serif" w:hAnsi="Times New Roman;serif"/>
                  <w:b w:val="false"/>
                  <w:color w:val="000080"/>
                  <w:sz w:val="20"/>
                  <w:u w:val="single"/>
                </w:rPr>
                <w:t xml:space="preserve">ance Corp., as </w:t>
              </w:r>
            </w:hyperlink>
            <w:hyperlink r:id="rId5">
              <w:r>
                <w:rPr>
                  <w:rStyle w:val="InternetLink"/>
                  <w:rFonts w:ascii="Times New Roman;serif" w:hAnsi="Times New Roman;serif"/>
                  <w:b w:val="false"/>
                  <w:color w:val="000080"/>
                  <w:sz w:val="20"/>
                  <w:u w:val="single"/>
                </w:rPr>
                <w:t xml:space="preserve">the </w:t>
              </w:r>
            </w:hyperlink>
            <w:hyperlink r:id="rId6">
              <w:r>
                <w:rPr>
                  <w:rStyle w:val="InternetLink"/>
                  <w:rFonts w:ascii="Times New Roman;serif" w:hAnsi="Times New Roman;serif"/>
                  <w:b w:val="false"/>
                  <w:color w:val="000080"/>
                  <w:sz w:val="20"/>
                  <w:u w:val="single"/>
                </w:rPr>
                <w:t>i</w:t>
              </w:r>
            </w:hyperlink>
            <w:hyperlink r:id="rId7">
              <w:r>
                <w:rPr>
                  <w:rStyle w:val="InternetLink"/>
                  <w:rFonts w:ascii="Times New Roman;serif" w:hAnsi="Times New Roman;serif"/>
                  <w:b w:val="false"/>
                  <w:color w:val="000080"/>
                  <w:sz w:val="20"/>
                  <w:u w:val="single"/>
                </w:rPr>
                <w:t>ssuers</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 xml:space="preserve"> and U.S. Bank Trust Company, National Association, as trustee (including the form of 2031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 (5/20/26)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Indenture, dated as of May 21, 2026, by and among UGI International, the guarantors named therein, U.S. Bank Trust Company, National Association, as trustee, U.S. Bank Europe DAC, as registrar and transfer agent, and U.S. Bank Europe DAC, UK Branch, as paying agent (including the form of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 (5/21/26)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Fourth Amendment to Credit Agreement, dated June 30, 2026, by and among UGI Energy Services, LLC, the guarantors party thereto, the lenders party thereto, HSBC Bank USA, N.A., as administrative agent, and HSBC Bank USA, N.A. as the 2026 Refinancing Term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 (6/30/26)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gicorpq36302026ex311.htm">
              <w:r>
                <w:rPr>
                  <w:rStyle w:val="InternetLink"/>
                  <w:rFonts w:ascii="Times New Roman;serif" w:hAnsi="Times New Roman;serif"/>
                  <w:b w:val="false"/>
                  <w:color w:val="000080"/>
                  <w:sz w:val="20"/>
                  <w:u w:val="single"/>
                </w:rPr>
                <w:t xml:space="preserve">Certification by the Chief Executive Officer relating to the Registrant’s Report on Form 10-Q for the quarter ended </w:t>
              </w:r>
            </w:hyperlink>
            <w:hyperlink w:anchor="ugicorpq36302026ex311.htm">
              <w:r>
                <w:rPr>
                  <w:rStyle w:val="InternetLink"/>
                  <w:rFonts w:ascii="Times New Roman;serif" w:hAnsi="Times New Roman;serif"/>
                  <w:b w:val="false"/>
                  <w:color w:val="000080"/>
                  <w:sz w:val="20"/>
                  <w:u w:val="single"/>
                </w:rPr>
                <w:t>June 30</w:t>
              </w:r>
            </w:hyperlink>
            <w:hyperlink w:anchor="ugicorpq36302026ex311.htm">
              <w:r>
                <w:rPr>
                  <w:rStyle w:val="InternetLink"/>
                  <w:rFonts w:ascii="Times New Roman;serif" w:hAnsi="Times New Roman;serif"/>
                  <w:b w:val="false"/>
                  <w:color w:val="000080"/>
                  <w:sz w:val="20"/>
                  <w:u w:val="single"/>
                </w:rPr>
                <w:t>, 2026,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gicorpq36302026ex312.htm">
              <w:r>
                <w:rPr>
                  <w:rStyle w:val="InternetLink"/>
                  <w:rFonts w:ascii="Times New Roman;serif" w:hAnsi="Times New Roman;serif"/>
                  <w:b w:val="false"/>
                  <w:color w:val="000080"/>
                  <w:sz w:val="20"/>
                  <w:u w:val="single"/>
                </w:rPr>
                <w:t xml:space="preserve">Certification by the Chief Financial Officer relating to the Registrant’s Report on Form 10-Q for the quarter ended </w:t>
              </w:r>
            </w:hyperlink>
            <w:hyperlink w:anchor="ugicorpq36302026ex312.htm">
              <w:r>
                <w:rPr>
                  <w:rStyle w:val="InternetLink"/>
                  <w:rFonts w:ascii="Times New Roman;serif" w:hAnsi="Times New Roman;serif"/>
                  <w:b w:val="false"/>
                  <w:color w:val="000080"/>
                  <w:sz w:val="20"/>
                  <w:u w:val="single"/>
                </w:rPr>
                <w:t>June 30</w:t>
              </w:r>
            </w:hyperlink>
            <w:hyperlink w:anchor="ugicorpq36302026ex312.htm">
              <w:r>
                <w:rPr>
                  <w:rStyle w:val="InternetLink"/>
                  <w:rFonts w:ascii="Times New Roman;serif" w:hAnsi="Times New Roman;serif"/>
                  <w:b w:val="false"/>
                  <w:color w:val="000080"/>
                  <w:sz w:val="20"/>
                  <w:u w:val="single"/>
                </w:rPr>
                <w:t>, 2026,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gicorpq36302026ex32.htm">
              <w:r>
                <w:rPr>
                  <w:rStyle w:val="InternetLink"/>
                  <w:rFonts w:ascii="Times New Roman;serif" w:hAnsi="Times New Roman;serif"/>
                  <w:b w:val="false"/>
                  <w:color w:val="000080"/>
                  <w:sz w:val="20"/>
                  <w:u w:val="single"/>
                </w:rPr>
                <w:t xml:space="preserve">Certification by the Chief Executive Officer and the Chief Financial Officer relating to the Registrant’s Report on Form 10-Q for the quarter ended </w:t>
              </w:r>
            </w:hyperlink>
            <w:hyperlink w:anchor="ugicorpq36302026ex32.htm">
              <w:r>
                <w:rPr>
                  <w:rStyle w:val="InternetLink"/>
                  <w:rFonts w:ascii="Times New Roman;serif" w:hAnsi="Times New Roman;serif"/>
                  <w:b w:val="false"/>
                  <w:color w:val="000080"/>
                  <w:sz w:val="20"/>
                  <w:u w:val="single"/>
                </w:rPr>
                <w:t>June 30</w:t>
              </w:r>
            </w:hyperlink>
            <w:hyperlink w:anchor="ugicorpq36302026ex32.htm">
              <w:r>
                <w:rPr>
                  <w:rStyle w:val="InternetLink"/>
                  <w:rFonts w:ascii="Times New Roman;serif" w:hAnsi="Times New Roman;serif"/>
                  <w:b w:val="false"/>
                  <w:color w:val="000080"/>
                  <w:sz w:val="20"/>
                  <w:u w:val="single"/>
                </w:rPr>
                <w:t>, 2026,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tbl>
      <w:tblPr>
        <w:tblW w:w="10205" w:type="dxa"/>
        <w:jc w:val="left"/>
        <w:tblInd w:w="0" w:type="dxa"/>
        <w:tblLayout w:type="fixed"/>
        <w:tblCellMar>
          <w:top w:w="28" w:type="dxa"/>
          <w:left w:w="28" w:type="dxa"/>
          <w:bottom w:w="28" w:type="dxa"/>
          <w:right w:w="28" w:type="dxa"/>
        </w:tblCellMar>
      </w:tblPr>
      <w:tblGrid>
        <w:gridCol w:w="307"/>
        <w:gridCol w:w="268"/>
        <w:gridCol w:w="271"/>
        <w:gridCol w:w="109"/>
        <w:gridCol w:w="109"/>
        <w:gridCol w:w="109"/>
        <w:gridCol w:w="2343"/>
        <w:gridCol w:w="2335"/>
        <w:gridCol w:w="2344"/>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3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11"/>
        <w:gridCol w:w="212"/>
        <w:gridCol w:w="109"/>
        <w:gridCol w:w="109"/>
        <w:gridCol w:w="109"/>
        <w:gridCol w:w="2689"/>
        <w:gridCol w:w="2689"/>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gicorpq36302026ex311.htm">
              <w:r>
                <w:rPr>
                  <w:rStyle w:val="InternetLink"/>
                  <w:rFonts w:ascii="Times New Roman;serif" w:hAnsi="Times New Roman;serif"/>
                  <w:b w:val="false"/>
                  <w:color w:val="000080"/>
                  <w:sz w:val="20"/>
                  <w:u w:val="single"/>
                </w:rPr>
                <w:t xml:space="preserve">Certification by the Chief Executive Officer relating to the Registrant’s Report on Form 10-Q for the quarter ended </w:t>
              </w:r>
            </w:hyperlink>
            <w:hyperlink w:anchor="ugicorpq36302026ex311.htm">
              <w:r>
                <w:rPr>
                  <w:rStyle w:val="InternetLink"/>
                  <w:rFonts w:ascii="Times New Roman;serif" w:hAnsi="Times New Roman;serif"/>
                  <w:b w:val="false"/>
                  <w:color w:val="000080"/>
                  <w:sz w:val="20"/>
                  <w:u w:val="single"/>
                </w:rPr>
                <w:t>June 30</w:t>
              </w:r>
            </w:hyperlink>
            <w:hyperlink w:anchor="ugicorpq36302026ex311.htm">
              <w:r>
                <w:rPr>
                  <w:rStyle w:val="InternetLink"/>
                  <w:rFonts w:ascii="Times New Roman;serif" w:hAnsi="Times New Roman;serif"/>
                  <w:b w:val="false"/>
                  <w:color w:val="000080"/>
                  <w:sz w:val="20"/>
                  <w:u w:val="single"/>
                </w:rPr>
                <w:t>, 2026, pursuant to Section 302 of the Sarbanes-Oxley Act of 2002.</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gicorpq36302026ex312.htm">
              <w:r>
                <w:rPr>
                  <w:rStyle w:val="InternetLink"/>
                  <w:rFonts w:ascii="Times New Roman;serif" w:hAnsi="Times New Roman;serif"/>
                  <w:b w:val="false"/>
                  <w:color w:val="000080"/>
                  <w:sz w:val="20"/>
                  <w:u w:val="single"/>
                </w:rPr>
                <w:t xml:space="preserve">Certification by the Chief Financial Officer relating to the Registrant’s Report on Form 10-Q for the quarter ended </w:t>
              </w:r>
            </w:hyperlink>
            <w:hyperlink w:anchor="ugicorpq36302026ex312.htm">
              <w:r>
                <w:rPr>
                  <w:rStyle w:val="InternetLink"/>
                  <w:rFonts w:ascii="Times New Roman;serif" w:hAnsi="Times New Roman;serif"/>
                  <w:b w:val="false"/>
                  <w:color w:val="000080"/>
                  <w:sz w:val="20"/>
                  <w:u w:val="single"/>
                </w:rPr>
                <w:t>June 30</w:t>
              </w:r>
            </w:hyperlink>
            <w:hyperlink w:anchor="ugicorpq36302026ex312.htm">
              <w:r>
                <w:rPr>
                  <w:rStyle w:val="InternetLink"/>
                  <w:rFonts w:ascii="Times New Roman;serif" w:hAnsi="Times New Roman;serif"/>
                  <w:b w:val="false"/>
                  <w:color w:val="000080"/>
                  <w:sz w:val="20"/>
                  <w:u w:val="single"/>
                </w:rPr>
                <w:t>, 2026, pursuant to Section 302 of the Sarbanes-Oxley Act of 2002.</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gicorpq36302026ex32.htm">
              <w:r>
                <w:rPr>
                  <w:rStyle w:val="InternetLink"/>
                  <w:rFonts w:ascii="Times New Roman;serif" w:hAnsi="Times New Roman;serif"/>
                  <w:b w:val="false"/>
                  <w:color w:val="000080"/>
                  <w:sz w:val="20"/>
                  <w:u w:val="single"/>
                </w:rPr>
                <w:t xml:space="preserve">Certification by the Chief Executive Officer and the Chief Financial Officer relating to the Registrant’s Report on Form 10-Q for the quarter ended </w:t>
              </w:r>
            </w:hyperlink>
            <w:hyperlink w:anchor="ugicorpq36302026ex32.htm">
              <w:r>
                <w:rPr>
                  <w:rStyle w:val="InternetLink"/>
                  <w:rFonts w:ascii="Times New Roman;serif" w:hAnsi="Times New Roman;serif"/>
                  <w:b w:val="false"/>
                  <w:color w:val="000080"/>
                  <w:sz w:val="20"/>
                  <w:u w:val="single"/>
                </w:rPr>
                <w:t xml:space="preserve">June </w:t>
              </w:r>
            </w:hyperlink>
            <w:hyperlink w:anchor="ugicorpq36302026ex32.htm">
              <w:r>
                <w:rPr>
                  <w:rStyle w:val="InternetLink"/>
                  <w:rFonts w:ascii="Times New Roman;serif" w:hAnsi="Times New Roman;serif"/>
                  <w:b w:val="false"/>
                  <w:color w:val="000080"/>
                  <w:sz w:val="20"/>
                  <w:u w:val="single"/>
                </w:rPr>
                <w:t>30</w:t>
              </w:r>
            </w:hyperlink>
            <w:hyperlink w:anchor="ugicorpq36302026ex32.htm">
              <w:r>
                <w:rPr>
                  <w:rStyle w:val="InternetLink"/>
                  <w:rFonts w:ascii="Times New Roman;serif" w:hAnsi="Times New Roman;serif"/>
                  <w:b w:val="false"/>
                  <w:color w:val="000080"/>
                  <w:sz w:val="20"/>
                  <w:u w:val="single"/>
                </w:rPr>
                <w:t>, 2026, pursuant to Section 906 of the Sarbanes-Oxley Act of 2002.</w:t>
              </w:r>
            </w:hyperlink>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 the instance document does not appear in the Interactive Data File because its XBRL tags are embedded within the Inline XBRL document</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e601f6278c14de6862c393d1ad101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UGI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0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35"/>
        <w:gridCol w:w="235"/>
        <w:gridCol w:w="235"/>
        <w:gridCol w:w="1005"/>
        <w:gridCol w:w="1005"/>
        <w:gridCol w:w="14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UGI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P. O’Brien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P. O’Brien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Jean Felix Tematio Dontsop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 Felix Tematio Dontsop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Corporate Controller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Robert C. Flexon, certify that: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periodic report on Form 10-Q of UGI Corporation;</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color w:val="000000"/>
        </w:rPr>
      </w:pPr>
      <w:r>
        <w:rPr>
          <w:color w:val="000000"/>
        </w:rPr>
        <w:t> </w:t>
      </w:r>
    </w:p>
    <w:tbl>
      <w:tblPr>
        <w:tblW w:w="706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413"/>
        <w:gridCol w:w="1413"/>
        <w:gridCol w:w="200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C. Flexon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Robert C. Flexon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of UGI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Sean P. O’Brien, certify that: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periodic report on Form 10-Q of UGI Corporation;</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586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62"/>
        <w:gridCol w:w="1062"/>
        <w:gridCol w:w="150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P. O’Brien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P. O’Brien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of UGI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 </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by the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Relating to a Periodic Report Containing Financial Statements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 Robert C. Flexon, Chief Executive Officer, and I, Sean P. O’Brien, Chief Financial Officer, of UGI Corporation, a Pennsylvania corporation (the “Company”), hereby certify that to our knowledge: </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Company’s periodic report on Form 10-Q for the period ended June 30, 2026 (the “Form 10-Q”) fully complies with the requirements of Section 13(a) of the Securities Exchange Act of 1934, as amended;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631" w:type="dxa"/>
        <w:jc w:val="left"/>
        <w:tblInd w:w="0" w:type="dxa"/>
        <w:tblLayout w:type="fixed"/>
        <w:tblCellMar>
          <w:top w:w="28" w:type="dxa"/>
          <w:left w:w="28" w:type="dxa"/>
          <w:bottom w:w="28" w:type="dxa"/>
          <w:right w:w="28" w:type="dxa"/>
        </w:tblCellMar>
      </w:tblPr>
      <w:tblGrid>
        <w:gridCol w:w="488"/>
        <w:gridCol w:w="428"/>
        <w:gridCol w:w="428"/>
        <w:gridCol w:w="447"/>
        <w:gridCol w:w="447"/>
        <w:gridCol w:w="456"/>
        <w:gridCol w:w="109"/>
        <w:gridCol w:w="109"/>
        <w:gridCol w:w="109"/>
        <w:gridCol w:w="405"/>
        <w:gridCol w:w="405"/>
        <w:gridCol w:w="405"/>
        <w:gridCol w:w="406"/>
        <w:gridCol w:w="406"/>
        <w:gridCol w:w="583"/>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26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6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C. Flexon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P. O’Brien</w:t>
            </w:r>
          </w:p>
        </w:tc>
      </w:tr>
      <w:tr>
        <w:trPr/>
        <w:tc>
          <w:tcPr>
            <w:tcW w:w="269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C. Flexon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P. O’Brien</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4614/000088461426000037/amerigas-indentureexecut.htm" TargetMode="External"/><Relationship Id="rId3" Type="http://schemas.openxmlformats.org/officeDocument/2006/relationships/hyperlink" Target="https://www.sec.gov/Archives/edgar/data/884614/000088461426000037/amerigas-indentureexecut.htm" TargetMode="External"/><Relationship Id="rId4" Type="http://schemas.openxmlformats.org/officeDocument/2006/relationships/hyperlink" Target="https://www.sec.gov/Archives/edgar/data/884614/000088461426000037/amerigas-indentureexecut.htm" TargetMode="External"/><Relationship Id="rId5" Type="http://schemas.openxmlformats.org/officeDocument/2006/relationships/hyperlink" Target="https://www.sec.gov/Archives/edgar/data/884614/000088461426000037/amerigas-indentureexecut.htm" TargetMode="External"/><Relationship Id="rId6" Type="http://schemas.openxmlformats.org/officeDocument/2006/relationships/hyperlink" Target="https://www.sec.gov/Archives/edgar/data/884614/000088461426000037/amerigas-indentureexecut.htm" TargetMode="External"/><Relationship Id="rId7" Type="http://schemas.openxmlformats.org/officeDocument/2006/relationships/hyperlink" Target="https://www.sec.gov/Archives/edgar/data/884614/000088461426000037/amerigas-indentureexecut.htm" TargetMode="External"/><Relationship Id="rId8" Type="http://schemas.openxmlformats.org/officeDocument/2006/relationships/hyperlink" Target="https://www.sec.gov/Archives/edgar/data/884614/000088461426000037/amerigas-indentureexecut.htm" TargetMode="External"/><Relationship Id="rId9" Type="http://schemas.openxmlformats.org/officeDocument/2006/relationships/hyperlink" Target="https://www.sec.gov/Archives/edgar/data/884614/000088461426000037/amerigas-indentureexecut.htm" TargetMode="External"/><Relationship Id="rId10" Type="http://schemas.openxmlformats.org/officeDocument/2006/relationships/hyperlink" Target="https://www.sec.gov/Archives/edgar/data/884614/000110465926065697/tm2615389d1_ex4-1.htm" TargetMode="External"/><Relationship Id="rId11" Type="http://schemas.openxmlformats.org/officeDocument/2006/relationships/hyperlink" Target="https://www.sec.gov/Archives/edgar/data/884614/000110465926081321/ugi-20260630xex10d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30351</Words>
  <Characters>168230</Characters>
  <CharactersWithSpaces>196111</CharactersWithSpaces>
  <Paragraphs>4769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